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A6766" w14:textId="2D576DF6" w:rsidR="002F439C" w:rsidRDefault="002641F8">
      <w:pPr>
        <w:pStyle w:val="Header"/>
        <w:tabs>
          <w:tab w:val="clear" w:pos="9639"/>
          <w:tab w:val="right" w:pos="5954"/>
        </w:tabs>
        <w:spacing w:after="240"/>
        <w:jc w:val="right"/>
        <w:rPr>
          <w:rFonts w:ascii="Calibri" w:hAnsi="Calibri"/>
        </w:rPr>
      </w:pPr>
      <w:r>
        <w:rPr>
          <w:rFonts w:ascii="Calibri" w:hAnsi="Calibri"/>
        </w:rPr>
        <w:t>Input paper: VTS60-</w:t>
      </w:r>
      <w:r w:rsidR="00B32A0F">
        <w:rPr>
          <w:rFonts w:ascii="Calibri" w:hAnsi="Calibri"/>
        </w:rPr>
        <w:t>8.7.1</w:t>
      </w:r>
    </w:p>
    <w:p w14:paraId="731A6767" w14:textId="77777777" w:rsidR="002F439C" w:rsidRDefault="002F439C">
      <w:pPr>
        <w:pStyle w:val="BodyText"/>
        <w:tabs>
          <w:tab w:val="left" w:pos="2835"/>
        </w:tabs>
      </w:pPr>
    </w:p>
    <w:p w14:paraId="731A6768" w14:textId="77777777" w:rsidR="002F439C" w:rsidRDefault="002F439C">
      <w:pPr>
        <w:pStyle w:val="BodyText"/>
        <w:tabs>
          <w:tab w:val="left" w:pos="2835"/>
        </w:tabs>
      </w:pPr>
    </w:p>
    <w:p w14:paraId="731A6769" w14:textId="77777777" w:rsidR="002F439C" w:rsidRDefault="002641F8">
      <w:pPr>
        <w:pStyle w:val="BodyText"/>
        <w:tabs>
          <w:tab w:val="left" w:pos="2835"/>
        </w:tabs>
      </w:pPr>
      <w:r>
        <w:t xml:space="preserve">Input paper for the following Committee(s): </w:t>
      </w:r>
      <w:r>
        <w:tab/>
      </w:r>
      <w:r>
        <w:rPr>
          <w:rFonts w:hint="eastAsia"/>
        </w:rPr>
        <w:t xml:space="preserve">              </w:t>
      </w:r>
      <w:r>
        <w:rPr>
          <w:sz w:val="18"/>
          <w:szCs w:val="18"/>
        </w:rPr>
        <w:tab/>
      </w:r>
      <w:r>
        <w:tab/>
        <w:t>Purpose of paper:</w:t>
      </w:r>
    </w:p>
    <w:p w14:paraId="731A676A" w14:textId="77777777" w:rsidR="002F439C" w:rsidRDefault="002641F8">
      <w:pPr>
        <w:pStyle w:val="BodyText"/>
        <w:tabs>
          <w:tab w:val="left" w:pos="1843"/>
        </w:tabs>
        <w:rPr>
          <w:rFonts w:cs="Arial"/>
          <w:b/>
          <w:sz w:val="24"/>
          <w:szCs w:val="24"/>
        </w:rPr>
      </w:pPr>
      <w:r>
        <w:rPr>
          <w:rFonts w:cs="Arial"/>
          <w:b/>
          <w:sz w:val="24"/>
          <w:szCs w:val="24"/>
        </w:rPr>
        <w:t>□</w:t>
      </w:r>
      <w:r>
        <w:rPr>
          <w:rFonts w:cs="Arial"/>
        </w:rPr>
        <w:t>ARM</w:t>
      </w:r>
      <w:r>
        <w:rPr>
          <w:rFonts w:cs="Arial"/>
        </w:rPr>
        <w:tab/>
      </w:r>
      <w:r>
        <w:rPr>
          <w:rFonts w:cs="Arial"/>
          <w:b/>
          <w:sz w:val="24"/>
          <w:szCs w:val="24"/>
        </w:rPr>
        <w:t>□</w:t>
      </w:r>
      <w:r>
        <w:rPr>
          <w:rFonts w:cs="Arial"/>
        </w:rPr>
        <w:t>ENG</w:t>
      </w:r>
      <w:r>
        <w:rPr>
          <w:rFonts w:cs="Arial"/>
        </w:rPr>
        <w:tab/>
      </w:r>
      <w:r>
        <w:rPr>
          <w:rFonts w:cs="Arial"/>
        </w:rPr>
        <w:tab/>
      </w:r>
      <w:r>
        <w:rPr>
          <w:rFonts w:cs="Arial"/>
          <w:b/>
          <w:sz w:val="24"/>
          <w:szCs w:val="24"/>
        </w:rPr>
        <w:t>□</w:t>
      </w:r>
      <w:r>
        <w:rPr>
          <w:rFonts w:cs="Arial"/>
        </w:rPr>
        <w:t>PAP</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proofErr w:type="gramStart"/>
      <w:r>
        <w:rPr>
          <w:rFonts w:cs="Arial" w:hint="eastAsia"/>
          <w:b/>
          <w:sz w:val="24"/>
          <w:szCs w:val="24"/>
        </w:rPr>
        <w:t>☑</w:t>
      </w:r>
      <w:r>
        <w:rPr>
          <w:rFonts w:cs="Arial"/>
          <w:sz w:val="24"/>
          <w:szCs w:val="24"/>
        </w:rPr>
        <w:t xml:space="preserve">  Input</w:t>
      </w:r>
      <w:proofErr w:type="gramEnd"/>
    </w:p>
    <w:p w14:paraId="731A676B" w14:textId="77777777" w:rsidR="002F439C" w:rsidRDefault="002641F8">
      <w:pPr>
        <w:pStyle w:val="BodyText"/>
        <w:tabs>
          <w:tab w:val="left" w:pos="1843"/>
        </w:tabs>
      </w:pPr>
      <w:r>
        <w:rPr>
          <w:rFonts w:cs="Arial"/>
          <w:b/>
          <w:sz w:val="24"/>
          <w:szCs w:val="24"/>
        </w:rPr>
        <w:t>□</w:t>
      </w:r>
      <w:r>
        <w:rPr>
          <w:rFonts w:cs="Arial"/>
        </w:rPr>
        <w:t>ENAV</w:t>
      </w:r>
      <w:r>
        <w:rPr>
          <w:rFonts w:cs="Arial"/>
          <w:b/>
          <w:sz w:val="24"/>
          <w:szCs w:val="24"/>
        </w:rPr>
        <w:tab/>
        <w:t>X</w:t>
      </w:r>
      <w:r>
        <w:rPr>
          <w:rFonts w:cs="Arial"/>
        </w:rPr>
        <w:t>VTS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proofErr w:type="gramStart"/>
      <w:r>
        <w:rPr>
          <w:rFonts w:cs="Arial"/>
          <w:b/>
          <w:sz w:val="24"/>
          <w:szCs w:val="24"/>
        </w:rPr>
        <w:t>□</w:t>
      </w:r>
      <w:r>
        <w:rPr>
          <w:rFonts w:cs="Arial"/>
          <w:sz w:val="24"/>
          <w:szCs w:val="24"/>
        </w:rPr>
        <w:t xml:space="preserve">  Information</w:t>
      </w:r>
      <w:proofErr w:type="gramEnd"/>
    </w:p>
    <w:p w14:paraId="731A676C" w14:textId="77777777" w:rsidR="002F439C" w:rsidRDefault="002F439C">
      <w:pPr>
        <w:pStyle w:val="BodyText"/>
        <w:tabs>
          <w:tab w:val="left" w:pos="2835"/>
        </w:tabs>
      </w:pPr>
    </w:p>
    <w:p w14:paraId="731A676D" w14:textId="44D6B471" w:rsidR="002F439C" w:rsidRDefault="002641F8">
      <w:pPr>
        <w:pStyle w:val="BodyText"/>
        <w:tabs>
          <w:tab w:val="left" w:pos="2835"/>
        </w:tabs>
      </w:pPr>
      <w:r>
        <w:t xml:space="preserve">Agenda item </w:t>
      </w:r>
      <w:r>
        <w:tab/>
      </w:r>
      <w:r>
        <w:tab/>
      </w:r>
      <w:r>
        <w:tab/>
      </w:r>
      <w:r w:rsidR="00B32A0F">
        <w:t>8.7</w:t>
      </w:r>
    </w:p>
    <w:p w14:paraId="731A676E" w14:textId="77777777" w:rsidR="002F439C" w:rsidRDefault="002641F8">
      <w:pPr>
        <w:pStyle w:val="BodyText"/>
        <w:tabs>
          <w:tab w:val="left" w:pos="2835"/>
        </w:tabs>
      </w:pPr>
      <w:r>
        <w:t>Technical Domain / Task Number</w:t>
      </w:r>
      <w:r>
        <w:tab/>
        <w:t>1.9.4</w:t>
      </w:r>
    </w:p>
    <w:p w14:paraId="731A676F" w14:textId="77777777" w:rsidR="002F439C" w:rsidRDefault="002641F8">
      <w:pPr>
        <w:pStyle w:val="BodyText"/>
        <w:tabs>
          <w:tab w:val="left" w:pos="2835"/>
        </w:tabs>
      </w:pPr>
      <w:r>
        <w:t>Author(s) / Submitter(s)</w:t>
      </w:r>
      <w:r>
        <w:tab/>
      </w:r>
      <w:r>
        <w:tab/>
      </w:r>
      <w:r>
        <w:tab/>
        <w:t>China Maritime Safety Administration</w:t>
      </w:r>
    </w:p>
    <w:p w14:paraId="731A6770" w14:textId="77777777" w:rsidR="002F439C" w:rsidRDefault="002F439C">
      <w:pPr>
        <w:pStyle w:val="BodyText"/>
        <w:tabs>
          <w:tab w:val="left" w:pos="2835"/>
        </w:tabs>
      </w:pPr>
    </w:p>
    <w:p w14:paraId="731A6771" w14:textId="77777777" w:rsidR="002F439C" w:rsidRDefault="002F439C">
      <w:pPr>
        <w:pStyle w:val="BodyText"/>
        <w:tabs>
          <w:tab w:val="left" w:pos="2835"/>
        </w:tabs>
      </w:pPr>
    </w:p>
    <w:p w14:paraId="731A6772" w14:textId="77777777" w:rsidR="002F439C" w:rsidRDefault="002641F8">
      <w:pPr>
        <w:pStyle w:val="Heading1"/>
        <w:numPr>
          <w:ilvl w:val="0"/>
          <w:numId w:val="0"/>
        </w:numPr>
        <w:jc w:val="center"/>
      </w:pPr>
      <w:r>
        <w:rPr>
          <w:rFonts w:cs="Arial"/>
          <w:bCs/>
          <w:caps w:val="0"/>
          <w:sz w:val="32"/>
          <w:szCs w:val="32"/>
        </w:rPr>
        <w:t>Proposal on Incorporating Offshore Renewable Energy Installations (OREI) into the Emerging Trends of the Future VTS</w:t>
      </w:r>
    </w:p>
    <w:p w14:paraId="731A6773" w14:textId="77777777" w:rsidR="002F439C" w:rsidRDefault="002641F8">
      <w:pPr>
        <w:pStyle w:val="Heading1"/>
      </w:pPr>
      <w:r>
        <w:t>Summary</w:t>
      </w:r>
    </w:p>
    <w:p w14:paraId="731A6774" w14:textId="77777777" w:rsidR="002F439C" w:rsidRDefault="002641F8">
      <w:pPr>
        <w:pStyle w:val="BodyText"/>
        <w:spacing w:line="240" w:lineRule="auto"/>
      </w:pPr>
      <w:r>
        <w:t xml:space="preserve">The large-scale construction and rapid development of offshore renewable energy installations (OREI) in nearshore and far offshore waters is becoming an emerging trend, of which </w:t>
      </w:r>
      <w:r>
        <w:t xml:space="preserve">the </w:t>
      </w:r>
      <w:r>
        <w:t xml:space="preserve">offshore wind farms </w:t>
      </w:r>
      <w:proofErr w:type="gramStart"/>
      <w:r>
        <w:rPr>
          <w:rFonts w:hint="eastAsia"/>
        </w:rPr>
        <w:t>is</w:t>
      </w:r>
      <w:proofErr w:type="gramEnd"/>
      <w:r>
        <w:t xml:space="preserve"> the most typical example. In recent years, driven by the rapid advance of offshore wind technology and by global carbon neutrality, large-scale offshore wind farms have been built in nearshore and far offshore waters around the world, with a profound impact on VTS. It is anticipated that the</w:t>
      </w:r>
      <w:r>
        <w:rPr>
          <w:rFonts w:hint="eastAsia"/>
        </w:rPr>
        <w:t xml:space="preserve"> </w:t>
      </w:r>
      <w:r>
        <w:t>future VTS will take this trend into consideration for further discussion.</w:t>
      </w:r>
      <w:r>
        <w:rPr>
          <w:rFonts w:hint="eastAsia"/>
        </w:rPr>
        <w:t xml:space="preserve">         </w:t>
      </w:r>
    </w:p>
    <w:p w14:paraId="731A6775" w14:textId="77777777" w:rsidR="002F439C" w:rsidRDefault="002641F8">
      <w:pPr>
        <w:pStyle w:val="Heading2"/>
      </w:pPr>
      <w:r>
        <w:t>Purpose of the document</w:t>
      </w:r>
    </w:p>
    <w:p w14:paraId="731A6776" w14:textId="77777777" w:rsidR="002F439C" w:rsidRDefault="002641F8">
      <w:pPr>
        <w:pStyle w:val="BodyText"/>
        <w:spacing w:line="240" w:lineRule="auto"/>
      </w:pPr>
      <w:r>
        <w:t>The purpose of this document is to demonstrate, with reference to the relevant IALA guidelines and IMO instruments, the necessity and urgency of incorporating</w:t>
      </w:r>
      <w:r>
        <w:t xml:space="preserve"> </w:t>
      </w:r>
      <w:r>
        <w:t xml:space="preserve">OREI, typically represented by offshore wind farms, into the emerging trends of the future VTS; to report to the VTS Committee the emerging trend of the large-scale construction and operation of offshore wind farms; and to recommend that the Task Group for Task 1.9.4 incorporate the corresponding content into the </w:t>
      </w:r>
      <w:r>
        <w:rPr>
          <w:rFonts w:hint="eastAsia"/>
        </w:rPr>
        <w:t>Future VTS Discussion Paper</w:t>
      </w:r>
      <w:r>
        <w:rPr>
          <w:rFonts w:hint="eastAsia"/>
        </w:rPr>
        <w:t>.</w:t>
      </w:r>
    </w:p>
    <w:p w14:paraId="731A6777" w14:textId="77777777" w:rsidR="002F439C" w:rsidRDefault="002641F8">
      <w:pPr>
        <w:pStyle w:val="Heading2"/>
        <w:widowControl w:val="0"/>
      </w:pPr>
      <w:r>
        <w:t>Related documents</w:t>
      </w:r>
    </w:p>
    <w:p w14:paraId="731A6778" w14:textId="77777777" w:rsidR="002F439C" w:rsidRDefault="002641F8">
      <w:pPr>
        <w:pStyle w:val="BodyText"/>
        <w:widowControl w:val="0"/>
        <w:spacing w:line="240" w:lineRule="auto"/>
        <w:rPr>
          <w:rFonts w:cs="Calibri"/>
          <w:lang w:val="en-GB" w:eastAsia="en-GB"/>
        </w:rPr>
      </w:pPr>
      <w:r>
        <w:rPr>
          <w:rFonts w:cs="Calibri"/>
          <w:lang w:val="en-GB" w:eastAsia="de-DE"/>
        </w:rPr>
        <w:t xml:space="preserve">IMO Resolution A.1158(32) </w:t>
      </w:r>
      <w:r>
        <w:rPr>
          <w:rFonts w:cs="Calibri"/>
          <w:i/>
          <w:lang w:val="en-GB" w:eastAsia="de-DE"/>
        </w:rPr>
        <w:t>Guidelines for Vessel Traffic Services</w:t>
      </w:r>
    </w:p>
    <w:p w14:paraId="731A6779" w14:textId="77777777" w:rsidR="002F439C" w:rsidRDefault="002641F8">
      <w:pPr>
        <w:pStyle w:val="BodyText"/>
        <w:widowControl w:val="0"/>
        <w:spacing w:line="240" w:lineRule="auto"/>
        <w:rPr>
          <w:rFonts w:cs="Calibri"/>
          <w:lang w:val="en-GB" w:eastAsia="en-GB"/>
        </w:rPr>
      </w:pPr>
      <w:r>
        <w:rPr>
          <w:rFonts w:cs="Calibri"/>
          <w:lang w:val="en-GB" w:eastAsia="de-DE"/>
        </w:rPr>
        <w:t xml:space="preserve">IALA G1185 </w:t>
      </w:r>
      <w:r>
        <w:rPr>
          <w:rFonts w:cs="Calibri"/>
          <w:i/>
          <w:lang w:val="en-GB" w:eastAsia="de-DE"/>
        </w:rPr>
        <w:t>Enhancing the safety and efficiency of navigation around offshore renewable energy installations (OREI) - Ed 2.0</w:t>
      </w:r>
    </w:p>
    <w:p w14:paraId="731A677A" w14:textId="77777777" w:rsidR="002F439C" w:rsidRDefault="002641F8">
      <w:pPr>
        <w:pStyle w:val="BodyText"/>
        <w:widowControl w:val="0"/>
        <w:spacing w:line="240" w:lineRule="auto"/>
        <w:rPr>
          <w:rFonts w:cs="Calibri"/>
          <w:lang w:eastAsia="en-GB"/>
        </w:rPr>
      </w:pPr>
      <w:r>
        <w:rPr>
          <w:rFonts w:cs="Calibri"/>
          <w:lang w:val="en-GB" w:eastAsia="de-DE"/>
        </w:rPr>
        <w:t xml:space="preserve">IALA G1121 </w:t>
      </w:r>
      <w:r>
        <w:rPr>
          <w:rFonts w:cs="Calibri"/>
          <w:i/>
          <w:lang w:val="en-GB" w:eastAsia="de-DE"/>
        </w:rPr>
        <w:t>Navigational safety within marine spatial planning - Ed 1.</w:t>
      </w:r>
      <w:r>
        <w:rPr>
          <w:rFonts w:cs="Calibri"/>
          <w:i/>
          <w:lang w:eastAsia="de-DE"/>
        </w:rPr>
        <w:t>0</w:t>
      </w:r>
    </w:p>
    <w:p w14:paraId="731A677B" w14:textId="77777777" w:rsidR="002F439C" w:rsidRDefault="002641F8">
      <w:pPr>
        <w:pStyle w:val="BodyText"/>
        <w:widowControl w:val="0"/>
        <w:spacing w:line="240" w:lineRule="auto"/>
        <w:rPr>
          <w:rFonts w:cs="Calibri"/>
          <w:lang w:val="en-GB" w:eastAsia="en-GB"/>
        </w:rPr>
      </w:pPr>
      <w:r>
        <w:rPr>
          <w:rFonts w:cs="Calibri"/>
          <w:lang w:val="en-GB" w:eastAsia="de-DE"/>
        </w:rPr>
        <w:t xml:space="preserve">IALA G1070 </w:t>
      </w:r>
      <w:r>
        <w:rPr>
          <w:rFonts w:cs="Calibri"/>
          <w:i/>
          <w:lang w:val="en-GB" w:eastAsia="de-DE"/>
        </w:rPr>
        <w:t>VTS role in managing restricted or limited access areas - Ed 1.1</w:t>
      </w:r>
    </w:p>
    <w:p w14:paraId="731A677C" w14:textId="77777777" w:rsidR="002F439C" w:rsidRDefault="002641F8">
      <w:pPr>
        <w:pStyle w:val="BodyText"/>
        <w:widowControl w:val="0"/>
        <w:spacing w:line="240" w:lineRule="auto"/>
        <w:rPr>
          <w:rFonts w:cs="Calibri"/>
          <w:lang w:val="en-GB" w:eastAsia="en-GB"/>
        </w:rPr>
      </w:pPr>
      <w:r>
        <w:rPr>
          <w:rFonts w:cs="Calibri"/>
          <w:lang w:val="en-GB" w:eastAsia="de-DE"/>
        </w:rPr>
        <w:t xml:space="preserve">IALA G1102 </w:t>
      </w:r>
      <w:r>
        <w:rPr>
          <w:rFonts w:cs="Calibri"/>
          <w:i/>
          <w:lang w:val="en-GB" w:eastAsia="de-DE"/>
        </w:rPr>
        <w:t>VTS interaction with allied or other services - Ed 1.1</w:t>
      </w:r>
    </w:p>
    <w:p w14:paraId="731A677D" w14:textId="77777777" w:rsidR="002F439C" w:rsidRDefault="002641F8">
      <w:pPr>
        <w:pStyle w:val="BodyText"/>
        <w:widowControl w:val="0"/>
        <w:spacing w:line="240" w:lineRule="auto"/>
        <w:rPr>
          <w:rFonts w:cs="Calibri"/>
          <w:lang w:val="en-GB" w:eastAsia="en-GB"/>
        </w:rPr>
      </w:pPr>
      <w:r>
        <w:rPr>
          <w:rFonts w:cs="Calibri"/>
          <w:lang w:val="en-GB" w:eastAsia="de-DE"/>
        </w:rPr>
        <w:t xml:space="preserve">IALA G1130 </w:t>
      </w:r>
      <w:r>
        <w:rPr>
          <w:rFonts w:cs="Calibri"/>
          <w:i/>
          <w:lang w:val="en-GB" w:eastAsia="de-DE"/>
        </w:rPr>
        <w:t>Technical aspects of information exchange between VTS and allied or other services - Ed 2.0</w:t>
      </w:r>
    </w:p>
    <w:p w14:paraId="731A677E" w14:textId="77777777" w:rsidR="002F439C" w:rsidRDefault="002641F8">
      <w:pPr>
        <w:pStyle w:val="BodyText"/>
        <w:widowControl w:val="0"/>
        <w:spacing w:line="240" w:lineRule="auto"/>
        <w:rPr>
          <w:rFonts w:cs="Calibri"/>
          <w:lang w:val="en-GB" w:eastAsia="en-GB"/>
        </w:rPr>
      </w:pPr>
      <w:r>
        <w:rPr>
          <w:rFonts w:cs="Calibri"/>
          <w:lang w:val="en-GB" w:eastAsia="de-DE"/>
        </w:rPr>
        <w:t xml:space="preserve">MSC.1/Circ.1686 </w:t>
      </w:r>
      <w:r>
        <w:rPr>
          <w:rFonts w:cs="Calibri"/>
          <w:i/>
          <w:lang w:val="en-GB" w:eastAsia="de-DE"/>
        </w:rPr>
        <w:t>Amendments to the International Aeronautical and Maritime Search and Rescue (IAMSAR) Manual</w:t>
      </w:r>
    </w:p>
    <w:p w14:paraId="731A677F" w14:textId="77777777" w:rsidR="002F439C" w:rsidRDefault="002641F8">
      <w:pPr>
        <w:pStyle w:val="Heading1"/>
        <w:widowControl w:val="0"/>
      </w:pPr>
      <w:r>
        <w:lastRenderedPageBreak/>
        <w:t>Background</w:t>
      </w:r>
    </w:p>
    <w:p w14:paraId="731A6780" w14:textId="77777777" w:rsidR="002F439C" w:rsidRDefault="002641F8">
      <w:pPr>
        <w:pStyle w:val="BodyText"/>
        <w:widowControl w:val="0"/>
        <w:spacing w:line="240" w:lineRule="auto"/>
        <w:rPr>
          <w:rFonts w:cs="Calibri"/>
          <w:lang w:val="en-GB"/>
        </w:rPr>
      </w:pPr>
      <w:r>
        <w:t xml:space="preserve">According to statistics from the Global Wind Energy Council (GWEC) and </w:t>
      </w:r>
      <w:proofErr w:type="spellStart"/>
      <w:r>
        <w:t>WindEurope</w:t>
      </w:r>
      <w:proofErr w:type="spellEnd"/>
      <w:r>
        <w:t>, the global offshore wind market has grown at an average annual rate of about 10% over the past decade. By the end of 2025, cumulative installed capacity worldwide had reached 92.5 GW, and its development continues to move further offshore, with the farthest points of some sites already 85.5 km from the coast.</w:t>
      </w:r>
    </w:p>
    <w:p w14:paraId="731A6781" w14:textId="77777777" w:rsidR="002F439C" w:rsidRDefault="002641F8">
      <w:pPr>
        <w:pStyle w:val="BodyText"/>
        <w:spacing w:line="240" w:lineRule="auto"/>
        <w:rPr>
          <w:lang w:val="en-GB"/>
        </w:rPr>
      </w:pPr>
      <w:r>
        <w:rPr>
          <w:rFonts w:hint="eastAsia"/>
          <w:lang w:val="en-GB"/>
        </w:rPr>
        <w:t xml:space="preserve">Such far-offshore layout places wind infrastructure either at the fringe or within blind zones of conventional shore-based radar and Automatic Identification System (AIS) base stations, falling outside standard VTS service coverage. Vessels transiting these waters cannot obtain dedicated VTS traffic </w:t>
      </w:r>
      <w:r>
        <w:t>o</w:t>
      </w:r>
      <w:proofErr w:type="spellStart"/>
      <w:r>
        <w:rPr>
          <w:rFonts w:hint="eastAsia"/>
          <w:lang w:val="en-GB"/>
        </w:rPr>
        <w:t>rganization</w:t>
      </w:r>
      <w:proofErr w:type="spellEnd"/>
      <w:r>
        <w:rPr>
          <w:rFonts w:hint="eastAsia"/>
          <w:lang w:val="en-GB"/>
        </w:rPr>
        <w:t xml:space="preserve"> services to mitigate wind farm navigation hazards.</w:t>
      </w:r>
    </w:p>
    <w:p w14:paraId="731A6782" w14:textId="77777777" w:rsidR="002F439C" w:rsidRDefault="002641F8">
      <w:pPr>
        <w:pStyle w:val="BodyText"/>
        <w:spacing w:line="240" w:lineRule="auto"/>
        <w:rPr>
          <w:rFonts w:asciiTheme="minorHAnsi" w:hAnsiTheme="minorHAnsi"/>
          <w:lang w:val="en-GB"/>
        </w:rPr>
      </w:pPr>
      <w:proofErr w:type="gramStart"/>
      <w:r>
        <w:t>A number of</w:t>
      </w:r>
      <w:proofErr w:type="gramEnd"/>
      <w:r>
        <w:t xml:space="preserve"> IMO circulars and IALA guidelines already</w:t>
      </w:r>
      <w:r>
        <w:rPr>
          <w:rFonts w:hint="eastAsia"/>
        </w:rPr>
        <w:t xml:space="preserve"> m</w:t>
      </w:r>
      <w:r>
        <w:rPr>
          <w:rFonts w:hint="eastAsia"/>
        </w:rPr>
        <w:t>ention</w:t>
      </w:r>
      <w:r>
        <w:rPr>
          <w:rFonts w:hint="eastAsia"/>
        </w:rPr>
        <w:t>ed</w:t>
      </w:r>
      <w:r>
        <w:t xml:space="preserve"> the service functions and the technical approaches of VTS in OREI waters. MSC.1/Circ.1686, approved by IMO MSC 109, amends the IAMSAR Manual by adding a new section 6.15 to volume II, which sets out the considerations for search and rescue operations in the vicinity of offshore wind farms and other renewable energy installations. That section notes that wind farms may cause VHF interference and affect DSC and AIS signals. It also lists the core elements required for good situational awareness within the se</w:t>
      </w:r>
      <w:r>
        <w:t>arch and rescue region (SRR), covering the types of wind farm facilities (wind turbines, offshore substations and meteorological masts), the foundation types (fixed or floating), the vertical clearance for navigation and the deployment of marine aids to navigation.</w:t>
      </w:r>
    </w:p>
    <w:p w14:paraId="731A6783" w14:textId="77777777" w:rsidR="002F439C" w:rsidRDefault="002641F8">
      <w:pPr>
        <w:pStyle w:val="BodyText"/>
        <w:spacing w:line="240" w:lineRule="auto"/>
        <w:rPr>
          <w:rFonts w:asciiTheme="minorHAnsi" w:hAnsiTheme="minorHAnsi"/>
          <w:lang w:val="en-GB"/>
        </w:rPr>
      </w:pPr>
      <w:r>
        <w:t xml:space="preserve">IALA has addressed the matter from the perspective of navigational safety. G1121, published in June 2017, recommends that specific navigational safety issues be fully </w:t>
      </w:r>
      <w:proofErr w:type="gramStart"/>
      <w:r>
        <w:t>taken into account</w:t>
      </w:r>
      <w:proofErr w:type="gramEnd"/>
      <w:r>
        <w:t xml:space="preserve"> when the impact of offshore development projects on existing maritime traffic routes is assessed. G1070, revised and published in January 2022, further clarifies that offshore renewable energy installations fall within restricted or limited access areas, and sets out how a VTS applies traffic management measures and provides services in such areas. G1185 (Ed 2.0), revised and published in June 2026, identifies the ability of a VTS to interact with vessel traffic and to respond to developi</w:t>
      </w:r>
      <w:r>
        <w:t>ng situations within a VTS area as a risk mitigation measure for OREI waters, and analyses the safety and efficiency of navigation in the surrounding waters.</w:t>
      </w:r>
    </w:p>
    <w:p w14:paraId="731A6784" w14:textId="77777777" w:rsidR="002F439C" w:rsidRDefault="002641F8">
      <w:pPr>
        <w:pStyle w:val="BodyText"/>
        <w:spacing w:line="240" w:lineRule="auto"/>
      </w:pPr>
      <w:r>
        <w:rPr>
          <w:rFonts w:hint="eastAsia"/>
        </w:rPr>
        <w:t xml:space="preserve">Meanwhile, Future VTS Discussion Paper (VTS 58/59) clarifies the technological evolution path for next-generation VTS systems. It proposes integrating the </w:t>
      </w:r>
      <w:r>
        <w:t>"</w:t>
      </w:r>
      <w:r>
        <w:rPr>
          <w:rFonts w:hint="eastAsia"/>
        </w:rPr>
        <w:t>Intelligent Management Information System (IMIS)</w:t>
      </w:r>
      <w:r>
        <w:t>"</w:t>
      </w:r>
      <w:r>
        <w:rPr>
          <w:rFonts w:hint="eastAsia"/>
        </w:rPr>
        <w:t xml:space="preserve"> and </w:t>
      </w:r>
      <w:r>
        <w:t xml:space="preserve">"Drones at </w:t>
      </w:r>
      <w:r>
        <w:rPr>
          <w:rFonts w:hint="eastAsia"/>
        </w:rPr>
        <w:t>Low Altitude on Water Surface</w:t>
      </w:r>
      <w:r>
        <w:t>"</w:t>
      </w:r>
      <w:r>
        <w:rPr>
          <w:rFonts w:hint="eastAsia"/>
        </w:rPr>
        <w:t xml:space="preserve"> into </w:t>
      </w:r>
      <w:r>
        <w:t>the f</w:t>
      </w:r>
      <w:r>
        <w:rPr>
          <w:rFonts w:hint="eastAsia"/>
        </w:rPr>
        <w:t>uture VTS.</w:t>
      </w:r>
      <w:r>
        <w:rPr>
          <w:rFonts w:hint="eastAsia"/>
        </w:rPr>
        <w:t xml:space="preserve"> </w:t>
      </w:r>
      <w:r>
        <w:rPr>
          <w:rFonts w:hint="eastAsia"/>
        </w:rPr>
        <w:t>This indicates that enhancing the perception capabilities of VTS and improving its information technology are important trends in the future.</w:t>
      </w:r>
    </w:p>
    <w:p w14:paraId="731A6785" w14:textId="77777777" w:rsidR="002F439C" w:rsidRDefault="002641F8">
      <w:pPr>
        <w:pStyle w:val="BodyText"/>
        <w:widowControl w:val="0"/>
        <w:spacing w:line="240" w:lineRule="auto"/>
      </w:pPr>
      <w:r>
        <w:t>In summary, the existing IMO and IALA instruments have defined the service functions and the direction of technological development for VTS in OREI waters, from the perspectives of search and rescue support, navigational risk mitigation, restricted area management and cross-sector coordination, and</w:t>
      </w:r>
      <w:r>
        <w:rPr>
          <w:rFonts w:hint="eastAsia"/>
        </w:rPr>
        <w:t xml:space="preserve"> Future VTS Discussion Paper</w:t>
      </w:r>
      <w:r>
        <w:t xml:space="preserve"> has further indicated the development path of sensing and information technology. However, OREI, typically represented by offshore wind farms, have not yet been systematically incorporated as an emerging scenario. OREI </w:t>
      </w:r>
      <w:proofErr w:type="gramStart"/>
      <w:r>
        <w:t>continue</w:t>
      </w:r>
      <w:proofErr w:type="gramEnd"/>
      <w:r>
        <w:t xml:space="preserve"> to be deployed further offshore, and the practical demand for enhanced sensing capability and for communication and navigation support in far offshore waters is becoming increasingly prominent. Building the sensing and service capabilities for OREI waters is a practical response to </w:t>
      </w:r>
      <w:r>
        <w:t xml:space="preserve">the global development of far offshore wind power and to the need to support search and rescue decision-making, and it is also a technical prerequisite for the effective implementation of the VTS service requirements set out in the instruments referred to above. </w:t>
      </w:r>
      <w:r>
        <w:rPr>
          <w:rFonts w:hint="eastAsia"/>
        </w:rPr>
        <w:t xml:space="preserve">Therefore, incorporating OREI into </w:t>
      </w:r>
      <w:proofErr w:type="gramStart"/>
      <w:r>
        <w:t>the</w:t>
      </w:r>
      <w:r>
        <w:rPr>
          <w:rFonts w:hint="eastAsia"/>
        </w:rPr>
        <w:t xml:space="preserve">  Future</w:t>
      </w:r>
      <w:proofErr w:type="gramEnd"/>
      <w:r>
        <w:rPr>
          <w:rFonts w:hint="eastAsia"/>
        </w:rPr>
        <w:t xml:space="preserve"> VTS Discussion Paper</w:t>
      </w:r>
      <w:r>
        <w:rPr>
          <w:rFonts w:hint="eastAsia"/>
        </w:rPr>
        <w:t xml:space="preserve"> is a necessary supplement to improve the </w:t>
      </w:r>
      <w:r>
        <w:rPr>
          <w:rFonts w:hint="eastAsia"/>
        </w:rPr>
        <w:t>f</w:t>
      </w:r>
      <w:r>
        <w:rPr>
          <w:rFonts w:hint="eastAsia"/>
        </w:rPr>
        <w:t>uture VTS service system.</w:t>
      </w:r>
    </w:p>
    <w:p w14:paraId="731A6786" w14:textId="77777777" w:rsidR="002F439C" w:rsidRDefault="002641F8">
      <w:pPr>
        <w:pStyle w:val="Heading1"/>
        <w:widowControl w:val="0"/>
      </w:pPr>
      <w:r>
        <w:t>Discussion</w:t>
      </w:r>
    </w:p>
    <w:p w14:paraId="731A6787" w14:textId="77777777" w:rsidR="002F439C" w:rsidRDefault="002641F8">
      <w:pPr>
        <w:pStyle w:val="Heading2"/>
        <w:widowControl w:val="0"/>
      </w:pPr>
      <w:r>
        <w:t>Navigational Safety Risks and Incidents of Offshore Wind Farms</w:t>
      </w:r>
    </w:p>
    <w:p w14:paraId="731A6788" w14:textId="77777777" w:rsidR="002F439C" w:rsidRDefault="002641F8">
      <w:pPr>
        <w:pStyle w:val="BodyText"/>
        <w:widowControl w:val="0"/>
        <w:spacing w:line="240" w:lineRule="auto"/>
      </w:pPr>
      <w:r>
        <w:t xml:space="preserve">Sections 3 and 4 of IALA G1185 </w:t>
      </w:r>
      <w:r>
        <w:rPr>
          <w:i/>
        </w:rPr>
        <w:t>Enhancing the safety and efficiency of navigation around offshore renewable energy installations (OREI)</w:t>
      </w:r>
      <w:r>
        <w:t xml:space="preserve"> and pages 16 to 19 of IALA G1121 </w:t>
      </w:r>
      <w:r>
        <w:rPr>
          <w:i/>
        </w:rPr>
        <w:t>Navigational safety within marine spatial planning</w:t>
      </w:r>
      <w:r>
        <w:t xml:space="preserve"> systematically identify the safety risks that offshore wind farms pose to ship navigation. With reference to the relevant international instruments, the eight main OREI navigational safety risks are set out in Table 1 by risk category, risk description and source reference.</w:t>
      </w:r>
    </w:p>
    <w:p w14:paraId="731A6789" w14:textId="77777777" w:rsidR="002F439C" w:rsidRDefault="002641F8">
      <w:pPr>
        <w:pStyle w:val="Table"/>
      </w:pPr>
      <w:r>
        <w:lastRenderedPageBreak/>
        <w:t>OREI navigational safety risks</w:t>
      </w:r>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850"/>
        <w:gridCol w:w="1900"/>
        <w:gridCol w:w="4584"/>
        <w:gridCol w:w="2300"/>
      </w:tblGrid>
      <w:tr w:rsidR="002F439C" w14:paraId="731A678E" w14:textId="77777777">
        <w:trPr>
          <w:cantSplit/>
          <w:tblHeader/>
        </w:trPr>
        <w:tc>
          <w:tcPr>
            <w:tcW w:w="850" w:type="dxa"/>
            <w:shd w:val="clear" w:color="auto" w:fill="66FFFF"/>
            <w:vAlign w:val="center"/>
          </w:tcPr>
          <w:p w14:paraId="731A678A"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b/>
                <w:sz w:val="20"/>
                <w:szCs w:val="20"/>
              </w:rPr>
              <w:t>No.</w:t>
            </w:r>
          </w:p>
        </w:tc>
        <w:tc>
          <w:tcPr>
            <w:tcW w:w="1900" w:type="dxa"/>
            <w:shd w:val="clear" w:color="auto" w:fill="66FFFF"/>
            <w:vAlign w:val="center"/>
          </w:tcPr>
          <w:p w14:paraId="731A678B"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b/>
                <w:sz w:val="20"/>
                <w:szCs w:val="20"/>
              </w:rPr>
              <w:t>Risk category</w:t>
            </w:r>
          </w:p>
        </w:tc>
        <w:tc>
          <w:tcPr>
            <w:tcW w:w="4584" w:type="dxa"/>
            <w:shd w:val="clear" w:color="auto" w:fill="66FFFF"/>
            <w:vAlign w:val="center"/>
          </w:tcPr>
          <w:p w14:paraId="731A678C"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b/>
                <w:sz w:val="20"/>
                <w:szCs w:val="20"/>
              </w:rPr>
              <w:t>Risk description</w:t>
            </w:r>
          </w:p>
        </w:tc>
        <w:tc>
          <w:tcPr>
            <w:tcW w:w="2300" w:type="dxa"/>
            <w:shd w:val="clear" w:color="auto" w:fill="66FFFF"/>
            <w:vAlign w:val="center"/>
          </w:tcPr>
          <w:p w14:paraId="731A678D"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b/>
                <w:sz w:val="20"/>
                <w:szCs w:val="20"/>
              </w:rPr>
              <w:t>Source reference</w:t>
            </w:r>
          </w:p>
        </w:tc>
      </w:tr>
      <w:tr w:rsidR="002F439C" w14:paraId="731A6794" w14:textId="77777777">
        <w:trPr>
          <w:trHeight w:val="1939"/>
        </w:trPr>
        <w:tc>
          <w:tcPr>
            <w:tcW w:w="850" w:type="dxa"/>
            <w:vAlign w:val="center"/>
          </w:tcPr>
          <w:p w14:paraId="731A678F"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sz w:val="20"/>
                <w:szCs w:val="20"/>
              </w:rPr>
              <w:t>1</w:t>
            </w:r>
          </w:p>
        </w:tc>
        <w:tc>
          <w:tcPr>
            <w:tcW w:w="1900" w:type="dxa"/>
            <w:vAlign w:val="center"/>
          </w:tcPr>
          <w:p w14:paraId="731A6790"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Vessel-structure allision</w:t>
            </w:r>
          </w:p>
        </w:tc>
        <w:tc>
          <w:tcPr>
            <w:tcW w:w="4584" w:type="dxa"/>
            <w:vAlign w:val="center"/>
          </w:tcPr>
          <w:p w14:paraId="731A6791"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A vessel strikes a structure such as a wind turbine or an offshore substation (powered allision), which may result in hull damage, structural damage, environmental pollution and even casualties. Contributing factors include navigational error, unfamiliarity with the wind farm layout and failure of marine aids to navigation.</w:t>
            </w:r>
          </w:p>
        </w:tc>
        <w:tc>
          <w:tcPr>
            <w:tcW w:w="2300" w:type="dxa"/>
            <w:vAlign w:val="center"/>
          </w:tcPr>
          <w:p w14:paraId="731A6792"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4.3;</w:t>
            </w:r>
          </w:p>
          <w:p w14:paraId="731A6793"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 xml:space="preserve">G1121, p.18, </w:t>
            </w:r>
            <w:r>
              <w:rPr>
                <w:rFonts w:asciiTheme="minorHAnsi" w:hAnsiTheme="minorHAnsi"/>
                <w:sz w:val="20"/>
                <w:szCs w:val="20"/>
              </w:rPr>
              <w:t>"</w:t>
            </w:r>
            <w:r>
              <w:rPr>
                <w:rFonts w:asciiTheme="minorHAnsi" w:hAnsiTheme="minorHAnsi"/>
                <w:sz w:val="20"/>
                <w:szCs w:val="20"/>
              </w:rPr>
              <w:t>Energy</w:t>
            </w:r>
            <w:r>
              <w:rPr>
                <w:rFonts w:asciiTheme="minorHAnsi" w:hAnsiTheme="minorHAnsi"/>
                <w:sz w:val="20"/>
                <w:szCs w:val="20"/>
              </w:rPr>
              <w:t>"</w:t>
            </w:r>
            <w:r>
              <w:rPr>
                <w:rFonts w:asciiTheme="minorHAnsi" w:hAnsiTheme="minorHAnsi"/>
                <w:sz w:val="20"/>
                <w:szCs w:val="20"/>
              </w:rPr>
              <w:t xml:space="preserve"> row</w:t>
            </w:r>
          </w:p>
        </w:tc>
      </w:tr>
      <w:tr w:rsidR="002F439C" w14:paraId="731A6799" w14:textId="77777777">
        <w:tc>
          <w:tcPr>
            <w:tcW w:w="850" w:type="dxa"/>
            <w:vAlign w:val="center"/>
          </w:tcPr>
          <w:p w14:paraId="731A6795"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sz w:val="20"/>
                <w:szCs w:val="20"/>
              </w:rPr>
              <w:t>2</w:t>
            </w:r>
          </w:p>
        </w:tc>
        <w:tc>
          <w:tcPr>
            <w:tcW w:w="1900" w:type="dxa"/>
            <w:vAlign w:val="center"/>
          </w:tcPr>
          <w:p w14:paraId="731A6796"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Drifting allision after loss of control</w:t>
            </w:r>
          </w:p>
        </w:tc>
        <w:tc>
          <w:tcPr>
            <w:tcW w:w="4584" w:type="dxa"/>
            <w:vAlign w:val="center"/>
          </w:tcPr>
          <w:p w14:paraId="731A6797"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 xml:space="preserve">A vessel loses control owing to mechanical failure, technical failure or severe weather, drifts into the wind farm area under the action of wind and </w:t>
            </w:r>
            <w:proofErr w:type="gramStart"/>
            <w:r>
              <w:rPr>
                <w:rFonts w:asciiTheme="minorHAnsi" w:hAnsiTheme="minorHAnsi"/>
                <w:sz w:val="20"/>
                <w:szCs w:val="20"/>
              </w:rPr>
              <w:t>current, and</w:t>
            </w:r>
            <w:proofErr w:type="gramEnd"/>
            <w:r>
              <w:rPr>
                <w:rFonts w:asciiTheme="minorHAnsi" w:hAnsiTheme="minorHAnsi"/>
                <w:sz w:val="20"/>
                <w:szCs w:val="20"/>
              </w:rPr>
              <w:t xml:space="preserve"> strikes the structures (drifting allision).</w:t>
            </w:r>
          </w:p>
        </w:tc>
        <w:tc>
          <w:tcPr>
            <w:tcW w:w="2300" w:type="dxa"/>
            <w:vAlign w:val="center"/>
          </w:tcPr>
          <w:p w14:paraId="731A6798"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4.2</w:t>
            </w:r>
          </w:p>
        </w:tc>
      </w:tr>
      <w:tr w:rsidR="002F439C" w14:paraId="731A679F" w14:textId="77777777">
        <w:tc>
          <w:tcPr>
            <w:tcW w:w="850" w:type="dxa"/>
            <w:vAlign w:val="center"/>
          </w:tcPr>
          <w:p w14:paraId="731A679A"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3</w:t>
            </w:r>
          </w:p>
        </w:tc>
        <w:tc>
          <w:tcPr>
            <w:tcW w:w="1900" w:type="dxa"/>
            <w:vAlign w:val="center"/>
          </w:tcPr>
          <w:p w14:paraId="731A679B"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Change in traffic flow and increase in density</w:t>
            </w:r>
          </w:p>
        </w:tc>
        <w:tc>
          <w:tcPr>
            <w:tcW w:w="4584" w:type="dxa"/>
            <w:vAlign w:val="center"/>
          </w:tcPr>
          <w:p w14:paraId="731A679C"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The ships were diverted to the coastal inland routes or other alternative routes to avoid the wind farm, resulting in changes in the traffic flow in the local waters, an increase in the density of ships, and a rise in the risk of collisions.</w:t>
            </w:r>
          </w:p>
        </w:tc>
        <w:tc>
          <w:tcPr>
            <w:tcW w:w="2300" w:type="dxa"/>
            <w:vAlign w:val="center"/>
          </w:tcPr>
          <w:p w14:paraId="731A679D"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3.</w:t>
            </w:r>
            <w:r>
              <w:rPr>
                <w:rFonts w:asciiTheme="minorHAnsi" w:hAnsiTheme="minorHAnsi" w:hint="eastAsia"/>
                <w:sz w:val="20"/>
                <w:szCs w:val="20"/>
              </w:rPr>
              <w:t>4</w:t>
            </w:r>
            <w:r>
              <w:rPr>
                <w:rFonts w:asciiTheme="minorHAnsi" w:hAnsiTheme="minorHAnsi"/>
                <w:sz w:val="20"/>
                <w:szCs w:val="20"/>
              </w:rPr>
              <w:t>;</w:t>
            </w:r>
          </w:p>
          <w:p w14:paraId="731A679E"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G1121, p.1</w:t>
            </w:r>
            <w:r>
              <w:rPr>
                <w:rFonts w:asciiTheme="minorHAnsi" w:hAnsiTheme="minorHAnsi" w:hint="eastAsia"/>
                <w:sz w:val="20"/>
                <w:szCs w:val="20"/>
              </w:rPr>
              <w:t>7</w:t>
            </w:r>
            <w:r>
              <w:rPr>
                <w:rFonts w:asciiTheme="minorHAnsi" w:hAnsiTheme="minorHAnsi"/>
                <w:sz w:val="20"/>
                <w:szCs w:val="20"/>
              </w:rPr>
              <w:t xml:space="preserve">, </w:t>
            </w:r>
            <w:r>
              <w:rPr>
                <w:rFonts w:asciiTheme="minorHAnsi" w:hAnsiTheme="minorHAnsi"/>
                <w:sz w:val="20"/>
                <w:szCs w:val="20"/>
              </w:rPr>
              <w:t>"</w:t>
            </w:r>
            <w:r>
              <w:rPr>
                <w:rFonts w:asciiTheme="minorHAnsi" w:hAnsiTheme="minorHAnsi" w:hint="eastAsia"/>
                <w:sz w:val="20"/>
                <w:szCs w:val="20"/>
              </w:rPr>
              <w:t>Shipping</w:t>
            </w:r>
            <w:r>
              <w:rPr>
                <w:rFonts w:asciiTheme="minorHAnsi" w:hAnsiTheme="minorHAnsi"/>
                <w:sz w:val="20"/>
                <w:szCs w:val="20"/>
              </w:rPr>
              <w:t>"</w:t>
            </w:r>
            <w:r>
              <w:rPr>
                <w:rFonts w:asciiTheme="minorHAnsi" w:hAnsiTheme="minorHAnsi"/>
                <w:sz w:val="20"/>
                <w:szCs w:val="20"/>
              </w:rPr>
              <w:t xml:space="preserve"> row</w:t>
            </w:r>
          </w:p>
        </w:tc>
      </w:tr>
      <w:tr w:rsidR="002F439C" w14:paraId="731A67A5" w14:textId="77777777">
        <w:tc>
          <w:tcPr>
            <w:tcW w:w="850" w:type="dxa"/>
            <w:vAlign w:val="center"/>
          </w:tcPr>
          <w:p w14:paraId="731A67A0"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4</w:t>
            </w:r>
          </w:p>
        </w:tc>
        <w:tc>
          <w:tcPr>
            <w:tcW w:w="1900" w:type="dxa"/>
            <w:vAlign w:val="center"/>
          </w:tcPr>
          <w:p w14:paraId="731A67A1"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Radar interference</w:t>
            </w:r>
          </w:p>
        </w:tc>
        <w:tc>
          <w:tcPr>
            <w:tcW w:w="4584" w:type="dxa"/>
            <w:vAlign w:val="center"/>
          </w:tcPr>
          <w:p w14:paraId="731A67A2"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Offshore wind farms may cause shadowing, multipath reflection and false echoes for both shipborne radar and VTS radar. Wind turbines may create blind zones or false reflected signals for VTS radar, particularly where several blind zones lie close to one another, which makes target detection and positioning more difficult.</w:t>
            </w:r>
          </w:p>
        </w:tc>
        <w:tc>
          <w:tcPr>
            <w:tcW w:w="2300" w:type="dxa"/>
            <w:vAlign w:val="center"/>
          </w:tcPr>
          <w:p w14:paraId="731A67A3"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3.9;</w:t>
            </w:r>
          </w:p>
          <w:p w14:paraId="731A67A4"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 xml:space="preserve">G1121, p.18, </w:t>
            </w:r>
            <w:r>
              <w:rPr>
                <w:rFonts w:asciiTheme="minorHAnsi" w:hAnsiTheme="minorHAnsi"/>
                <w:sz w:val="20"/>
                <w:szCs w:val="20"/>
              </w:rPr>
              <w:t>"</w:t>
            </w:r>
            <w:r>
              <w:rPr>
                <w:rFonts w:asciiTheme="minorHAnsi" w:hAnsiTheme="minorHAnsi"/>
                <w:sz w:val="20"/>
                <w:szCs w:val="20"/>
              </w:rPr>
              <w:t>Radio communication</w:t>
            </w:r>
            <w:r>
              <w:rPr>
                <w:rFonts w:asciiTheme="minorHAnsi" w:hAnsiTheme="minorHAnsi"/>
                <w:sz w:val="20"/>
                <w:szCs w:val="20"/>
              </w:rPr>
              <w:t>"</w:t>
            </w:r>
            <w:r>
              <w:rPr>
                <w:rFonts w:asciiTheme="minorHAnsi" w:hAnsiTheme="minorHAnsi"/>
                <w:sz w:val="20"/>
                <w:szCs w:val="20"/>
              </w:rPr>
              <w:t xml:space="preserve"> row</w:t>
            </w:r>
          </w:p>
        </w:tc>
      </w:tr>
      <w:tr w:rsidR="002F439C" w14:paraId="731A67AB" w14:textId="77777777">
        <w:tc>
          <w:tcPr>
            <w:tcW w:w="850" w:type="dxa"/>
            <w:vAlign w:val="center"/>
          </w:tcPr>
          <w:p w14:paraId="731A67A6"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5</w:t>
            </w:r>
          </w:p>
        </w:tc>
        <w:tc>
          <w:tcPr>
            <w:tcW w:w="1900" w:type="dxa"/>
            <w:vAlign w:val="center"/>
          </w:tcPr>
          <w:p w14:paraId="731A67A7"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Effect on AIS signals</w:t>
            </w:r>
          </w:p>
        </w:tc>
        <w:tc>
          <w:tcPr>
            <w:tcW w:w="4584" w:type="dxa"/>
            <w:vAlign w:val="center"/>
          </w:tcPr>
          <w:p w14:paraId="731A67A8"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Wind turbines may block the line-of-sight transmission of AIS signals. Where a vessel is close to or transiting a wind farm, the turbines may obstruct such transmission between vessels and between vessels and base stations. The electromagnetic fields generated during operation may also interfere with the frequency bands used by AIS, causing transmission errors or loss of signal.</w:t>
            </w:r>
          </w:p>
        </w:tc>
        <w:tc>
          <w:tcPr>
            <w:tcW w:w="2300" w:type="dxa"/>
            <w:vAlign w:val="center"/>
          </w:tcPr>
          <w:p w14:paraId="731A67A9"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3.8;</w:t>
            </w:r>
          </w:p>
          <w:p w14:paraId="731A67AA"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 xml:space="preserve">G1121, p.18, </w:t>
            </w:r>
            <w:r>
              <w:rPr>
                <w:rFonts w:asciiTheme="minorHAnsi" w:hAnsiTheme="minorHAnsi"/>
                <w:sz w:val="20"/>
                <w:szCs w:val="20"/>
              </w:rPr>
              <w:t>"</w:t>
            </w:r>
            <w:r>
              <w:rPr>
                <w:rFonts w:asciiTheme="minorHAnsi" w:hAnsiTheme="minorHAnsi"/>
                <w:sz w:val="20"/>
                <w:szCs w:val="20"/>
              </w:rPr>
              <w:t>Radio communication</w:t>
            </w:r>
            <w:r>
              <w:rPr>
                <w:rFonts w:asciiTheme="minorHAnsi" w:hAnsiTheme="minorHAnsi"/>
                <w:sz w:val="20"/>
                <w:szCs w:val="20"/>
              </w:rPr>
              <w:t>"</w:t>
            </w:r>
            <w:r>
              <w:rPr>
                <w:rFonts w:asciiTheme="minorHAnsi" w:hAnsiTheme="minorHAnsi"/>
                <w:sz w:val="20"/>
                <w:szCs w:val="20"/>
              </w:rPr>
              <w:t xml:space="preserve"> row</w:t>
            </w:r>
          </w:p>
        </w:tc>
      </w:tr>
      <w:tr w:rsidR="002F439C" w14:paraId="731A67B1" w14:textId="77777777">
        <w:trPr>
          <w:trHeight w:val="1584"/>
        </w:trPr>
        <w:tc>
          <w:tcPr>
            <w:tcW w:w="850" w:type="dxa"/>
            <w:vAlign w:val="center"/>
          </w:tcPr>
          <w:p w14:paraId="731A67AC"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6</w:t>
            </w:r>
          </w:p>
        </w:tc>
        <w:tc>
          <w:tcPr>
            <w:tcW w:w="1900" w:type="dxa"/>
            <w:vAlign w:val="center"/>
          </w:tcPr>
          <w:p w14:paraId="731A67AD"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VHF</w:t>
            </w:r>
            <w:r>
              <w:rPr>
                <w:rFonts w:asciiTheme="minorHAnsi" w:hAnsiTheme="minorHAnsi" w:hint="eastAsia"/>
                <w:sz w:val="20"/>
                <w:szCs w:val="20"/>
              </w:rPr>
              <w:t xml:space="preserve"> </w:t>
            </w:r>
            <w:r>
              <w:rPr>
                <w:rFonts w:asciiTheme="minorHAnsi" w:hAnsiTheme="minorHAnsi"/>
                <w:sz w:val="20"/>
                <w:szCs w:val="20"/>
              </w:rPr>
              <w:t>communication interference</w:t>
            </w:r>
          </w:p>
        </w:tc>
        <w:tc>
          <w:tcPr>
            <w:tcW w:w="4584" w:type="dxa"/>
            <w:vAlign w:val="center"/>
          </w:tcPr>
          <w:p w14:paraId="731A67AE"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VHF maritime communication may be interfered with by the physical structures of a wind farm and by its communication infrastructure, such as command and control, emergency warning, safety communication and land mobile communication systems.</w:t>
            </w:r>
          </w:p>
        </w:tc>
        <w:tc>
          <w:tcPr>
            <w:tcW w:w="2300" w:type="dxa"/>
            <w:vAlign w:val="center"/>
          </w:tcPr>
          <w:p w14:paraId="731A67AF"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3.8;</w:t>
            </w:r>
          </w:p>
          <w:p w14:paraId="731A67B0"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 xml:space="preserve">G1121, p.18, </w:t>
            </w:r>
            <w:r>
              <w:rPr>
                <w:rFonts w:asciiTheme="minorHAnsi" w:hAnsiTheme="minorHAnsi"/>
                <w:sz w:val="20"/>
                <w:szCs w:val="20"/>
              </w:rPr>
              <w:t>"</w:t>
            </w:r>
            <w:r>
              <w:rPr>
                <w:rFonts w:asciiTheme="minorHAnsi" w:hAnsiTheme="minorHAnsi"/>
                <w:sz w:val="20"/>
                <w:szCs w:val="20"/>
              </w:rPr>
              <w:t>Radio communication</w:t>
            </w:r>
            <w:r>
              <w:rPr>
                <w:rFonts w:asciiTheme="minorHAnsi" w:hAnsiTheme="minorHAnsi"/>
                <w:sz w:val="20"/>
                <w:szCs w:val="20"/>
              </w:rPr>
              <w:t>"</w:t>
            </w:r>
            <w:r>
              <w:rPr>
                <w:rFonts w:asciiTheme="minorHAnsi" w:hAnsiTheme="minorHAnsi"/>
                <w:sz w:val="20"/>
                <w:szCs w:val="20"/>
              </w:rPr>
              <w:t xml:space="preserve"> row</w:t>
            </w:r>
          </w:p>
        </w:tc>
      </w:tr>
      <w:tr w:rsidR="002F439C" w14:paraId="731A67B6" w14:textId="77777777">
        <w:trPr>
          <w:trHeight w:val="1457"/>
        </w:trPr>
        <w:tc>
          <w:tcPr>
            <w:tcW w:w="850" w:type="dxa"/>
            <w:vAlign w:val="center"/>
          </w:tcPr>
          <w:p w14:paraId="731A67B2"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7</w:t>
            </w:r>
          </w:p>
        </w:tc>
        <w:tc>
          <w:tcPr>
            <w:tcW w:w="1900" w:type="dxa"/>
            <w:vAlign w:val="center"/>
          </w:tcPr>
          <w:p w14:paraId="731A67B3"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Interference with shore-based radio direction finders</w:t>
            </w:r>
          </w:p>
        </w:tc>
        <w:tc>
          <w:tcPr>
            <w:tcW w:w="4584" w:type="dxa"/>
            <w:vAlign w:val="center"/>
          </w:tcPr>
          <w:p w14:paraId="731A67B4"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The electromagnetic radiation of a wind farm may degrade the direction-finding function of shore-based radio direction finders, affecting the positioning capability of VTS and of search and rescue.</w:t>
            </w:r>
          </w:p>
        </w:tc>
        <w:tc>
          <w:tcPr>
            <w:tcW w:w="2300" w:type="dxa"/>
            <w:vAlign w:val="center"/>
          </w:tcPr>
          <w:p w14:paraId="731A67B5"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G1185 section 3.8</w:t>
            </w:r>
          </w:p>
        </w:tc>
      </w:tr>
      <w:tr w:rsidR="002F439C" w14:paraId="731A67BD" w14:textId="77777777">
        <w:tc>
          <w:tcPr>
            <w:tcW w:w="850" w:type="dxa"/>
            <w:vAlign w:val="center"/>
          </w:tcPr>
          <w:p w14:paraId="731A67B7" w14:textId="77777777" w:rsidR="002F439C" w:rsidRDefault="002641F8">
            <w:pPr>
              <w:pStyle w:val="BodyText"/>
              <w:spacing w:before="20" w:after="20" w:line="240" w:lineRule="auto"/>
              <w:jc w:val="center"/>
              <w:rPr>
                <w:rFonts w:asciiTheme="minorHAnsi" w:hAnsiTheme="minorHAnsi"/>
                <w:sz w:val="20"/>
                <w:szCs w:val="20"/>
              </w:rPr>
            </w:pPr>
            <w:r>
              <w:rPr>
                <w:rFonts w:asciiTheme="minorHAnsi" w:hAnsiTheme="minorHAnsi" w:hint="eastAsia"/>
                <w:sz w:val="20"/>
                <w:szCs w:val="20"/>
              </w:rPr>
              <w:t>8</w:t>
            </w:r>
          </w:p>
        </w:tc>
        <w:tc>
          <w:tcPr>
            <w:tcW w:w="1900" w:type="dxa"/>
            <w:vAlign w:val="center"/>
          </w:tcPr>
          <w:p w14:paraId="731A67B8"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Obstruction of search and rescue operations</w:t>
            </w:r>
          </w:p>
        </w:tc>
        <w:tc>
          <w:tcPr>
            <w:tcW w:w="4584" w:type="dxa"/>
            <w:vAlign w:val="center"/>
          </w:tcPr>
          <w:p w14:paraId="731A67B9"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The layout of a wind farm may obstruct the transit routes of search and rescue vessels and helicopters, affecting the timeliness and effectiveness of the emergency response.</w:t>
            </w:r>
          </w:p>
        </w:tc>
        <w:tc>
          <w:tcPr>
            <w:tcW w:w="2300" w:type="dxa"/>
            <w:vAlign w:val="center"/>
          </w:tcPr>
          <w:p w14:paraId="731A67BA" w14:textId="77777777" w:rsidR="002F439C" w:rsidRDefault="002641F8">
            <w:pPr>
              <w:pStyle w:val="BodyText"/>
              <w:spacing w:before="20" w:after="20" w:line="240" w:lineRule="auto"/>
              <w:jc w:val="left"/>
              <w:rPr>
                <w:rFonts w:asciiTheme="minorHAnsi" w:hAnsiTheme="minorHAnsi"/>
                <w:color w:val="000000" w:themeColor="text1"/>
                <w:sz w:val="20"/>
                <w:szCs w:val="20"/>
              </w:rPr>
            </w:pPr>
            <w:r>
              <w:rPr>
                <w:rFonts w:asciiTheme="minorHAnsi" w:hAnsiTheme="minorHAnsi"/>
                <w:color w:val="000000" w:themeColor="text1"/>
                <w:sz w:val="20"/>
                <w:szCs w:val="20"/>
              </w:rPr>
              <w:t>G1185 section 4.1;</w:t>
            </w:r>
          </w:p>
          <w:p w14:paraId="731A67BB" w14:textId="77777777" w:rsidR="002F439C" w:rsidRDefault="002641F8">
            <w:pPr>
              <w:pStyle w:val="BodyText"/>
              <w:spacing w:before="20" w:after="20" w:line="240" w:lineRule="auto"/>
              <w:jc w:val="left"/>
              <w:rPr>
                <w:rFonts w:asciiTheme="minorHAnsi" w:hAnsiTheme="minorHAnsi"/>
                <w:color w:val="000000" w:themeColor="text1"/>
                <w:sz w:val="20"/>
                <w:szCs w:val="20"/>
              </w:rPr>
            </w:pPr>
            <w:r>
              <w:rPr>
                <w:rFonts w:asciiTheme="minorHAnsi" w:hAnsiTheme="minorHAnsi"/>
                <w:color w:val="000000" w:themeColor="text1"/>
                <w:sz w:val="20"/>
                <w:szCs w:val="20"/>
              </w:rPr>
              <w:t xml:space="preserve">G1121, p.18, </w:t>
            </w:r>
            <w:r>
              <w:rPr>
                <w:rFonts w:asciiTheme="minorHAnsi" w:hAnsiTheme="minorHAnsi"/>
                <w:color w:val="000000" w:themeColor="text1"/>
                <w:sz w:val="20"/>
                <w:szCs w:val="20"/>
              </w:rPr>
              <w:t>"</w:t>
            </w:r>
            <w:r>
              <w:rPr>
                <w:rFonts w:asciiTheme="minorHAnsi" w:hAnsiTheme="minorHAnsi"/>
                <w:color w:val="000000" w:themeColor="text1"/>
                <w:sz w:val="20"/>
                <w:szCs w:val="20"/>
              </w:rPr>
              <w:t>Radio communication</w:t>
            </w:r>
            <w:r>
              <w:rPr>
                <w:rFonts w:asciiTheme="minorHAnsi" w:hAnsiTheme="minorHAnsi"/>
                <w:color w:val="000000" w:themeColor="text1"/>
                <w:sz w:val="20"/>
                <w:szCs w:val="20"/>
              </w:rPr>
              <w:t>"</w:t>
            </w:r>
            <w:r>
              <w:rPr>
                <w:rFonts w:asciiTheme="minorHAnsi" w:hAnsiTheme="minorHAnsi"/>
                <w:color w:val="000000" w:themeColor="text1"/>
                <w:sz w:val="20"/>
                <w:szCs w:val="20"/>
              </w:rPr>
              <w:t xml:space="preserve"> row;</w:t>
            </w:r>
          </w:p>
          <w:p w14:paraId="731A67BC" w14:textId="77777777" w:rsidR="002F439C" w:rsidRDefault="002641F8">
            <w:pPr>
              <w:pStyle w:val="BodyText"/>
              <w:spacing w:before="20" w:after="20" w:line="240" w:lineRule="auto"/>
              <w:jc w:val="left"/>
              <w:rPr>
                <w:rFonts w:asciiTheme="minorHAnsi" w:hAnsiTheme="minorHAnsi"/>
                <w:sz w:val="20"/>
                <w:szCs w:val="20"/>
              </w:rPr>
            </w:pPr>
            <w:r>
              <w:rPr>
                <w:rFonts w:asciiTheme="minorHAnsi" w:hAnsiTheme="minorHAnsi"/>
                <w:sz w:val="20"/>
                <w:szCs w:val="20"/>
              </w:rPr>
              <w:t>MSC.1/Circ.1686 (IAMSAR Manual, volume II, section 6.15)</w:t>
            </w:r>
          </w:p>
        </w:tc>
      </w:tr>
    </w:tbl>
    <w:p w14:paraId="731A67BE" w14:textId="77777777" w:rsidR="002F439C" w:rsidRDefault="002641F8">
      <w:pPr>
        <w:pStyle w:val="BodyText"/>
        <w:spacing w:line="240" w:lineRule="auto"/>
        <w:rPr>
          <w:rFonts w:asciiTheme="minorHAnsi" w:hAnsiTheme="minorHAnsi"/>
        </w:rPr>
      </w:pPr>
      <w:r>
        <w:rPr>
          <w:rFonts w:asciiTheme="minorHAnsi" w:hAnsiTheme="minorHAnsi"/>
        </w:rPr>
        <w:t>Relevant incidents show that the risks of allision and of damage to structures have already materialized. The main cases are as follows:</w:t>
      </w:r>
    </w:p>
    <w:p w14:paraId="731A67BF" w14:textId="77777777" w:rsidR="002F439C" w:rsidRDefault="002641F8">
      <w:pPr>
        <w:pStyle w:val="BodyText"/>
        <w:keepNext/>
        <w:spacing w:line="240" w:lineRule="auto"/>
        <w:rPr>
          <w:rFonts w:asciiTheme="minorHAnsi" w:hAnsiTheme="minorHAnsi"/>
        </w:rPr>
      </w:pPr>
      <w:proofErr w:type="gramStart"/>
      <w:r>
        <w:rPr>
          <w:rFonts w:asciiTheme="minorHAnsi" w:hAnsiTheme="minorHAnsi"/>
          <w:b/>
        </w:rPr>
        <w:lastRenderedPageBreak/>
        <w:t xml:space="preserve">Allisions </w:t>
      </w:r>
      <w:r>
        <w:rPr>
          <w:rFonts w:asciiTheme="minorHAnsi" w:hAnsiTheme="minorHAnsi"/>
          <w:b/>
        </w:rPr>
        <w:t>incidents</w:t>
      </w:r>
      <w:proofErr w:type="gramEnd"/>
      <w:r>
        <w:rPr>
          <w:rFonts w:asciiTheme="minorHAnsi" w:hAnsiTheme="minorHAnsi"/>
          <w:b/>
        </w:rPr>
        <w:t xml:space="preserve"> </w:t>
      </w:r>
      <w:r>
        <w:rPr>
          <w:rFonts w:asciiTheme="minorHAnsi" w:hAnsiTheme="minorHAnsi"/>
          <w:b/>
        </w:rPr>
        <w:t>between vessels and offshore wind structures:</w:t>
      </w:r>
    </w:p>
    <w:p w14:paraId="731A67C0"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 xml:space="preserve">In July 2022, the floating crane vessel </w:t>
      </w:r>
      <w:proofErr w:type="spellStart"/>
      <w:r>
        <w:rPr>
          <w:rFonts w:ascii="Calibri" w:eastAsia="SimSun" w:hAnsi="Calibri"/>
          <w:lang w:val="en-US" w:eastAsia="zh-CN"/>
        </w:rPr>
        <w:t>Fujing</w:t>
      </w:r>
      <w:proofErr w:type="spellEnd"/>
      <w:r>
        <w:rPr>
          <w:rFonts w:ascii="Calibri" w:eastAsia="SimSun" w:hAnsi="Calibri"/>
          <w:lang w:val="en-US" w:eastAsia="zh-CN"/>
        </w:rPr>
        <w:t xml:space="preserve"> 001, working on an offshore wind farm construction project, parted her anchor chain and dragged anchor while sheltering from Typhoon Chaba at the Yangjiang No.2 anchorage for large vessels in China. She struck the pile of an offshore wind turbine, broke up and sank.</w:t>
      </w:r>
    </w:p>
    <w:p w14:paraId="731A67C1"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In April 2023, the general cargo ship Petra L. struck a wind turbine at the Gode Wind 1 offshore wind farm in the German North Sea, leaving a large hole in her hull.</w:t>
      </w:r>
    </w:p>
    <w:p w14:paraId="731A67C2"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In September 2024, the service operation vessel (SOV) Wind of Hope struck a wind turbine at Hornsea 1 in the United Kingdom, one of the largest offshore wind farms in operation in the world, damaging both the vessel and the turbine.</w:t>
      </w:r>
    </w:p>
    <w:p w14:paraId="731A67C3"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 xml:space="preserve">In April 2025, the Panama-flagged offshore support vessel Glomar Venture struck a wind turbine about 24 km off </w:t>
      </w:r>
      <w:proofErr w:type="spellStart"/>
      <w:r>
        <w:rPr>
          <w:rFonts w:ascii="Calibri" w:eastAsia="SimSun" w:hAnsi="Calibri"/>
          <w:lang w:val="en-US" w:eastAsia="zh-CN"/>
        </w:rPr>
        <w:t>Callantsoog</w:t>
      </w:r>
      <w:proofErr w:type="spellEnd"/>
      <w:r>
        <w:rPr>
          <w:rFonts w:ascii="Calibri" w:eastAsia="SimSun" w:hAnsi="Calibri"/>
          <w:lang w:val="en-US" w:eastAsia="zh-CN"/>
        </w:rPr>
        <w:t>, North Holland, the Netherlands; of the 8 persons on board, 3 were taken to hospital.</w:t>
      </w:r>
    </w:p>
    <w:p w14:paraId="731A67C4"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 xml:space="preserve">In April 2025, the trawler Lola Julia struck the foundation of a wind turbine at the Saint-Nazaire offshore wind farm in France while returning to the port of La </w:t>
      </w:r>
      <w:proofErr w:type="spellStart"/>
      <w:r>
        <w:rPr>
          <w:rFonts w:ascii="Calibri" w:eastAsia="SimSun" w:hAnsi="Calibri"/>
          <w:lang w:val="en-US" w:eastAsia="zh-CN"/>
        </w:rPr>
        <w:t>Turballe</w:t>
      </w:r>
      <w:proofErr w:type="spellEnd"/>
      <w:r>
        <w:rPr>
          <w:rFonts w:ascii="Calibri" w:eastAsia="SimSun" w:hAnsi="Calibri"/>
          <w:lang w:val="en-US" w:eastAsia="zh-CN"/>
        </w:rPr>
        <w:t>, denting her starboard side and causing serious flooding.</w:t>
      </w:r>
    </w:p>
    <w:p w14:paraId="731A67C5" w14:textId="77777777" w:rsidR="002F439C" w:rsidRDefault="002641F8">
      <w:pPr>
        <w:pStyle w:val="BodyText"/>
        <w:keepNext/>
        <w:spacing w:line="240" w:lineRule="auto"/>
        <w:rPr>
          <w:rFonts w:asciiTheme="minorHAnsi" w:hAnsiTheme="minorHAnsi"/>
        </w:rPr>
      </w:pPr>
      <w:r>
        <w:rPr>
          <w:rFonts w:asciiTheme="minorHAnsi" w:hAnsiTheme="minorHAnsi"/>
          <w:b/>
        </w:rPr>
        <w:t>Incidents involving offshore wind structures themselves:</w:t>
      </w:r>
    </w:p>
    <w:p w14:paraId="731A67C6"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 xml:space="preserve">In August 2023, turbine T06 at the </w:t>
      </w:r>
      <w:proofErr w:type="spellStart"/>
      <w:r>
        <w:rPr>
          <w:rFonts w:ascii="Calibri" w:eastAsia="SimSun" w:hAnsi="Calibri"/>
          <w:lang w:val="en-US" w:eastAsia="zh-CN"/>
        </w:rPr>
        <w:t>Scroby</w:t>
      </w:r>
      <w:proofErr w:type="spellEnd"/>
      <w:r>
        <w:rPr>
          <w:rFonts w:ascii="Calibri" w:eastAsia="SimSun" w:hAnsi="Calibri"/>
          <w:lang w:val="en-US" w:eastAsia="zh-CN"/>
        </w:rPr>
        <w:t xml:space="preserve"> Sands offshore wind farm in the United Kingdom caught fire, and its generator, gearbox and blades were destroyed. The damage kept a further six turbines shut down for about one week, until the cables </w:t>
      </w:r>
      <w:proofErr w:type="gramStart"/>
      <w:r>
        <w:rPr>
          <w:rFonts w:ascii="Calibri" w:eastAsia="SimSun" w:hAnsi="Calibri"/>
          <w:lang w:val="en-US" w:eastAsia="zh-CN"/>
        </w:rPr>
        <w:t>had been</w:t>
      </w:r>
      <w:proofErr w:type="gramEnd"/>
      <w:r>
        <w:rPr>
          <w:rFonts w:ascii="Calibri" w:eastAsia="SimSun" w:hAnsi="Calibri"/>
          <w:lang w:val="en-US" w:eastAsia="zh-CN"/>
        </w:rPr>
        <w:t xml:space="preserve"> isolated.</w:t>
      </w:r>
    </w:p>
    <w:p w14:paraId="731A67C7"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 xml:space="preserve">In July 2024, a blade of a GE </w:t>
      </w:r>
      <w:proofErr w:type="spellStart"/>
      <w:r>
        <w:rPr>
          <w:rFonts w:ascii="Calibri" w:eastAsia="SimSun" w:hAnsi="Calibri"/>
          <w:lang w:val="en-US" w:eastAsia="zh-CN"/>
        </w:rPr>
        <w:t>Haliade</w:t>
      </w:r>
      <w:proofErr w:type="spellEnd"/>
      <w:r>
        <w:rPr>
          <w:rFonts w:ascii="Calibri" w:eastAsia="SimSun" w:hAnsi="Calibri"/>
          <w:lang w:val="en-US" w:eastAsia="zh-CN"/>
        </w:rPr>
        <w:t xml:space="preserve">-X 13 MW turbine at the Vineyard Wind 1 offshore wind farm in the United States fractured. Blade debris and </w:t>
      </w:r>
      <w:proofErr w:type="spellStart"/>
      <w:r>
        <w:rPr>
          <w:rFonts w:ascii="Calibri" w:eastAsia="SimSun" w:hAnsi="Calibri"/>
          <w:lang w:val="en-US" w:eastAsia="zh-CN"/>
        </w:rPr>
        <w:t>fibreglass</w:t>
      </w:r>
      <w:proofErr w:type="spellEnd"/>
      <w:r>
        <w:rPr>
          <w:rFonts w:ascii="Calibri" w:eastAsia="SimSun" w:hAnsi="Calibri"/>
          <w:lang w:val="en-US" w:eastAsia="zh-CN"/>
        </w:rPr>
        <w:t xml:space="preserve"> fragments were washed ashore on the coastline of Nantucket and remained scattered on the beaches for months.</w:t>
      </w:r>
    </w:p>
    <w:p w14:paraId="731A67C8"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In August 2024, an installed turbine blade at the Dogger Bank A offshore wind farm in the United Kingdom was damaged and failed.</w:t>
      </w:r>
    </w:p>
    <w:p w14:paraId="731A67C9" w14:textId="77777777" w:rsidR="002F439C" w:rsidRDefault="002641F8">
      <w:pPr>
        <w:pStyle w:val="BodyText"/>
        <w:spacing w:line="240" w:lineRule="auto"/>
        <w:rPr>
          <w:rFonts w:asciiTheme="minorHAnsi" w:hAnsiTheme="minorHAnsi"/>
        </w:rPr>
      </w:pPr>
      <w:r>
        <w:rPr>
          <w:rFonts w:asciiTheme="minorHAnsi" w:hAnsiTheme="minorHAnsi"/>
        </w:rPr>
        <w:t xml:space="preserve">The above incidents reveal the challenges faced by the existing VTS system in the OREI waters: </w:t>
      </w:r>
      <w:r>
        <w:rPr>
          <w:rFonts w:asciiTheme="minorHAnsi" w:hAnsiTheme="minorHAnsi"/>
        </w:rPr>
        <w:t>a</w:t>
      </w:r>
      <w:r>
        <w:rPr>
          <w:rFonts w:asciiTheme="minorHAnsi" w:hAnsiTheme="minorHAnsi"/>
        </w:rPr>
        <w:t xml:space="preserve">llisions </w:t>
      </w:r>
      <w:r>
        <w:rPr>
          <w:rFonts w:asciiTheme="minorHAnsi" w:hAnsiTheme="minorHAnsi"/>
        </w:rPr>
        <w:t>in</w:t>
      </w:r>
      <w:r>
        <w:rPr>
          <w:rFonts w:asciiTheme="minorHAnsi" w:hAnsiTheme="minorHAnsi"/>
        </w:rPr>
        <w:t xml:space="preserve">cidents have exposed the shortcomings of VTS in the far offshore blind areas, restricting its situational awareness capability in emergency responses; while </w:t>
      </w:r>
      <w:r>
        <w:rPr>
          <w:rFonts w:asciiTheme="minorHAnsi" w:hAnsiTheme="minorHAnsi"/>
        </w:rPr>
        <w:t>in</w:t>
      </w:r>
      <w:r>
        <w:rPr>
          <w:rFonts w:asciiTheme="minorHAnsi" w:hAnsiTheme="minorHAnsi"/>
        </w:rPr>
        <w:t xml:space="preserve">cidents involving structures themselves have generated secondary navigation risks and simultaneously placed higher demands on the cross-departmental collaboration of VTS. These incidents confirm the urgency of including the OREI, as a typical scenario of offshore wind farms, in the emerging trends of future VTS. It is necessary to specifically strengthen the perception and collaborative service capabilities </w:t>
      </w:r>
      <w:r>
        <w:rPr>
          <w:rFonts w:asciiTheme="minorHAnsi" w:hAnsiTheme="minorHAnsi"/>
        </w:rPr>
        <w:t xml:space="preserve">of </w:t>
      </w:r>
      <w:r>
        <w:rPr>
          <w:rFonts w:asciiTheme="minorHAnsi" w:hAnsiTheme="minorHAnsi"/>
        </w:rPr>
        <w:t>VTS</w:t>
      </w:r>
      <w:r>
        <w:rPr>
          <w:rFonts w:asciiTheme="minorHAnsi" w:hAnsiTheme="minorHAnsi"/>
        </w:rPr>
        <w:t xml:space="preserve"> </w:t>
      </w:r>
      <w:r>
        <w:rPr>
          <w:rFonts w:asciiTheme="minorHAnsi" w:hAnsiTheme="minorHAnsi"/>
        </w:rPr>
        <w:t>for the OREI to meet the safety and sustainable development requirements of the OREI.</w:t>
      </w:r>
    </w:p>
    <w:p w14:paraId="731A67CA" w14:textId="77777777" w:rsidR="002F439C" w:rsidRDefault="002641F8">
      <w:pPr>
        <w:pStyle w:val="Heading2"/>
        <w:ind w:left="850" w:hanging="850"/>
      </w:pPr>
      <w:r>
        <w:t>Benefits of Incorporating OREI into the Emerging Trends of the Future VTS</w:t>
      </w:r>
    </w:p>
    <w:p w14:paraId="731A67CB" w14:textId="77777777" w:rsidR="002F439C" w:rsidRDefault="002641F8">
      <w:pPr>
        <w:pStyle w:val="BodyText"/>
        <w:widowControl w:val="0"/>
        <w:spacing w:line="240" w:lineRule="auto"/>
        <w:rPr>
          <w:rFonts w:asciiTheme="minorHAnsi" w:hAnsiTheme="minorHAnsi"/>
        </w:rPr>
      </w:pPr>
      <w:r>
        <w:rPr>
          <w:rFonts w:asciiTheme="minorHAnsi" w:hAnsiTheme="minorHAnsi"/>
        </w:rPr>
        <w:t>Incorporating OREI into the emerging trends of the future VTS provides a key foundation for building a sensing and service system for mid- and far offshore waters, and will help VTS to achieve the following improvements in capability:</w:t>
      </w:r>
    </w:p>
    <w:p w14:paraId="731A67CC"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Improved reliability of situational awareness: AIS base stations, radar stations, VHF direction finders (VHF DF), VHF repeaters and CCTV cameras can be deployed on offshore wind platforms. This enhances the direction-finding, positioning and communication capabilities of VTS in mid- and far offshore waters, addresses the communication blind zones in those waters and provides data support for the intelligent application of IMIS.</w:t>
      </w:r>
    </w:p>
    <w:p w14:paraId="731A67CD"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t>Improved emergency response and search and rescue support: the communication facilities of offshore wind farm areas can improve the reception and relay of DSC and AIS distress alerts, shorten the response chain for offshore distress incidents, and provide support close at hand for search and rescue vessels and helicopters.</w:t>
      </w:r>
    </w:p>
    <w:p w14:paraId="731A67CE" w14:textId="77777777" w:rsidR="002F439C" w:rsidRDefault="002641F8">
      <w:pPr>
        <w:pStyle w:val="List1"/>
        <w:numPr>
          <w:ilvl w:val="0"/>
          <w:numId w:val="16"/>
        </w:numPr>
        <w:tabs>
          <w:tab w:val="clear" w:pos="567"/>
        </w:tabs>
        <w:ind w:leftChars="200" w:left="704" w:hangingChars="120" w:hanging="264"/>
        <w:rPr>
          <w:rFonts w:ascii="Calibri" w:eastAsia="SimSun" w:hAnsi="Calibri"/>
          <w:lang w:val="en-US" w:eastAsia="zh-CN"/>
        </w:rPr>
      </w:pPr>
      <w:r>
        <w:rPr>
          <w:rFonts w:ascii="Calibri" w:eastAsia="SimSun" w:hAnsi="Calibri"/>
          <w:lang w:val="en-US" w:eastAsia="zh-CN"/>
        </w:rPr>
        <w:lastRenderedPageBreak/>
        <w:t xml:space="preserve">Support for the coordination of marine environmental protection and spatial planning: by integrating the navigational situation and the environmental monitoring data of wind farm waters, VTS can provide data support for the management of marine protected areas and other sensitive sea areas, assist the relevant authorities in assessing the impact of offshore development activities on the marine environment, and promote the coordinated development of offshore renewable energy and the protection of the marine </w:t>
      </w:r>
      <w:r>
        <w:rPr>
          <w:rFonts w:ascii="Calibri" w:eastAsia="SimSun" w:hAnsi="Calibri"/>
          <w:lang w:val="en-US" w:eastAsia="zh-CN"/>
        </w:rPr>
        <w:t>environment.</w:t>
      </w:r>
    </w:p>
    <w:p w14:paraId="731A67CF" w14:textId="77777777" w:rsidR="002F439C" w:rsidRDefault="002641F8">
      <w:pPr>
        <w:pStyle w:val="Heading1"/>
      </w:pPr>
      <w:r>
        <w:t>Action requested of the Committee</w:t>
      </w:r>
    </w:p>
    <w:p w14:paraId="731A67D0" w14:textId="77777777" w:rsidR="002F439C" w:rsidRDefault="002641F8">
      <w:pPr>
        <w:pStyle w:val="BodyText"/>
        <w:spacing w:line="240" w:lineRule="auto"/>
        <w:rPr>
          <w:rFonts w:asciiTheme="minorHAnsi" w:hAnsiTheme="minorHAnsi"/>
        </w:rPr>
      </w:pPr>
      <w:r>
        <w:rPr>
          <w:rFonts w:asciiTheme="minorHAnsi" w:hAnsiTheme="minorHAnsi"/>
        </w:rPr>
        <w:t>The Committee is requested to:</w:t>
      </w:r>
    </w:p>
    <w:p w14:paraId="731A67D1" w14:textId="77777777" w:rsidR="002F439C" w:rsidRDefault="002641F8">
      <w:pPr>
        <w:pStyle w:val="List1"/>
        <w:numPr>
          <w:ilvl w:val="0"/>
          <w:numId w:val="16"/>
        </w:numPr>
        <w:tabs>
          <w:tab w:val="clear" w:pos="567"/>
        </w:tabs>
        <w:ind w:leftChars="200" w:left="880" w:hangingChars="200" w:hanging="440"/>
        <w:rPr>
          <w:rFonts w:ascii="Calibri" w:eastAsia="SimSun" w:hAnsi="Calibri"/>
          <w:lang w:eastAsia="zh-CN"/>
        </w:rPr>
      </w:pPr>
      <w:r>
        <w:rPr>
          <w:rFonts w:ascii="Calibri" w:eastAsia="SimSun" w:hAnsi="Calibri"/>
          <w:lang w:eastAsia="zh-CN"/>
        </w:rPr>
        <w:t>Consider the contents of this document and the annex</w:t>
      </w:r>
      <w:r>
        <w:rPr>
          <w:rFonts w:ascii="Calibri" w:eastAsia="SimSun" w:hAnsi="Calibri"/>
          <w:lang w:val="en-US" w:eastAsia="zh-CN"/>
        </w:rPr>
        <w:t>;</w:t>
      </w:r>
    </w:p>
    <w:p w14:paraId="731A67D2" w14:textId="77777777" w:rsidR="002F439C" w:rsidRDefault="002641F8">
      <w:pPr>
        <w:pStyle w:val="List1"/>
        <w:numPr>
          <w:ilvl w:val="0"/>
          <w:numId w:val="16"/>
        </w:numPr>
        <w:tabs>
          <w:tab w:val="clear" w:pos="567"/>
        </w:tabs>
        <w:ind w:leftChars="200" w:left="880" w:hangingChars="200" w:hanging="440"/>
        <w:rPr>
          <w:rFonts w:ascii="Calibri" w:eastAsia="SimSun" w:hAnsi="Calibri"/>
          <w:lang w:eastAsia="zh-CN"/>
        </w:rPr>
      </w:pPr>
      <w:proofErr w:type="gramStart"/>
      <w:r>
        <w:rPr>
          <w:rFonts w:ascii="Calibri" w:eastAsia="SimSun" w:hAnsi="Calibri"/>
          <w:lang w:eastAsia="zh-CN"/>
        </w:rPr>
        <w:t>Take action</w:t>
      </w:r>
      <w:proofErr w:type="gramEnd"/>
      <w:r>
        <w:rPr>
          <w:rFonts w:ascii="Calibri" w:eastAsia="SimSun" w:hAnsi="Calibri"/>
          <w:lang w:eastAsia="zh-CN"/>
        </w:rPr>
        <w:t xml:space="preserve"> as appropriate.</w:t>
      </w:r>
    </w:p>
    <w:p w14:paraId="731A67D3" w14:textId="77777777" w:rsidR="002F439C" w:rsidRDefault="002641F8">
      <w:pPr>
        <w:pStyle w:val="BodyText"/>
      </w:pPr>
      <w:r>
        <w:br w:type="page"/>
      </w:r>
    </w:p>
    <w:p w14:paraId="731A67D4" w14:textId="77777777" w:rsidR="002F439C" w:rsidRDefault="002641F8">
      <w:pPr>
        <w:pStyle w:val="Heading1"/>
        <w:numPr>
          <w:ilvl w:val="0"/>
          <w:numId w:val="0"/>
        </w:numPr>
        <w:rPr>
          <w:lang w:eastAsia="zh-CN"/>
        </w:rPr>
      </w:pPr>
      <w:r>
        <w:rPr>
          <w:rFonts w:hint="eastAsia"/>
          <w:lang w:eastAsia="zh-CN"/>
        </w:rPr>
        <w:lastRenderedPageBreak/>
        <w:t>ANNEX</w:t>
      </w:r>
    </w:p>
    <w:p w14:paraId="731A67D5" w14:textId="77777777" w:rsidR="002F439C" w:rsidRDefault="002641F8">
      <w:pPr>
        <w:pStyle w:val="AppendixHead2"/>
        <w:spacing w:before="240" w:after="240"/>
        <w:ind w:left="0" w:firstLine="0"/>
        <w:jc w:val="center"/>
        <w:rPr>
          <w:rFonts w:ascii="Calibri" w:eastAsiaTheme="minorEastAsia" w:hAnsi="Calibri" w:cs="Calibri"/>
          <w:lang w:eastAsia="zh-CN"/>
        </w:rPr>
      </w:pPr>
      <w:r>
        <w:rPr>
          <w:rFonts w:ascii="Calibri" w:eastAsiaTheme="minorEastAsia" w:hAnsi="Calibri" w:cs="Calibri" w:hint="eastAsia"/>
          <w:lang w:eastAsia="zh-CN"/>
        </w:rPr>
        <w:t>OREI (typically represented by offshore wind farms)</w:t>
      </w:r>
    </w:p>
    <w:p w14:paraId="731A67D6" w14:textId="77777777" w:rsidR="002F439C" w:rsidRDefault="002641F8">
      <w:pPr>
        <w:pStyle w:val="BodyText"/>
        <w:rPr>
          <w:rFonts w:asciiTheme="minorHAnsi" w:eastAsiaTheme="minorEastAsia" w:hAnsiTheme="minorHAnsi"/>
        </w:rPr>
      </w:pPr>
      <w:r>
        <w:rPr>
          <w:rFonts w:asciiTheme="minorHAnsi" w:eastAsiaTheme="minorEastAsia" w:hAnsiTheme="minorHAnsi" w:hint="eastAsia"/>
        </w:rPr>
        <w:t>The large-scale construction and operation of offshore wind farms is becoming an emerging trend that will have a long-term impact on VTS. The traffic situational awareness, the interaction and the service scope of VTS will extend to offshore wind farm waters.</w:t>
      </w:r>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2268"/>
        <w:gridCol w:w="7365"/>
      </w:tblGrid>
      <w:tr w:rsidR="002F439C" w14:paraId="731A67D9" w14:textId="77777777">
        <w:trPr>
          <w:trHeight w:val="692"/>
        </w:trPr>
        <w:tc>
          <w:tcPr>
            <w:tcW w:w="2268" w:type="dxa"/>
            <w:shd w:val="clear" w:color="auto" w:fill="66FFFF"/>
          </w:tcPr>
          <w:p w14:paraId="731A67D7"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Expected outcomes</w:t>
            </w:r>
          </w:p>
        </w:tc>
        <w:tc>
          <w:tcPr>
            <w:tcW w:w="7365" w:type="dxa"/>
            <w:shd w:val="clear" w:color="auto" w:fill="66FFFF"/>
          </w:tcPr>
          <w:p w14:paraId="731A67D8" w14:textId="77777777" w:rsidR="002F439C" w:rsidRDefault="002641F8">
            <w:pPr>
              <w:pStyle w:val="BodyText"/>
              <w:spacing w:line="240" w:lineRule="auto"/>
              <w:rPr>
                <w:rFonts w:asciiTheme="minorHAnsi" w:hAnsiTheme="minorHAnsi"/>
                <w:sz w:val="20"/>
                <w:szCs w:val="20"/>
              </w:rPr>
            </w:pPr>
            <w:r>
              <w:rPr>
                <w:sz w:val="20"/>
                <w:szCs w:val="20"/>
              </w:rPr>
              <w:t xml:space="preserve">The traffic situational awareness of the future VTS in respect of offshore wind farms and the surrounding waters will be further enhanced, covering vessels, turbine platforms and construction, operation and maintenance facilities. Appropriate interaction will be established with wind farm operators and the relevant allied services, </w:t>
            </w:r>
            <w:proofErr w:type="gramStart"/>
            <w:r>
              <w:rPr>
                <w:sz w:val="20"/>
                <w:szCs w:val="20"/>
              </w:rPr>
              <w:t>so as to</w:t>
            </w:r>
            <w:proofErr w:type="gramEnd"/>
            <w:r>
              <w:rPr>
                <w:sz w:val="20"/>
                <w:szCs w:val="20"/>
              </w:rPr>
              <w:t xml:space="preserve"> support the extension of VTS services into OREI waters. VTS will expand from </w:t>
            </w:r>
            <w:r>
              <w:rPr>
                <w:sz w:val="20"/>
                <w:szCs w:val="20"/>
              </w:rPr>
              <w:t>"</w:t>
            </w:r>
            <w:r>
              <w:rPr>
                <w:sz w:val="20"/>
                <w:szCs w:val="20"/>
              </w:rPr>
              <w:t>nearshore sensing</w:t>
            </w:r>
            <w:r>
              <w:rPr>
                <w:sz w:val="20"/>
                <w:szCs w:val="20"/>
              </w:rPr>
              <w:t>"</w:t>
            </w:r>
            <w:r>
              <w:rPr>
                <w:sz w:val="20"/>
                <w:szCs w:val="20"/>
              </w:rPr>
              <w:t xml:space="preserve"> to </w:t>
            </w:r>
            <w:r>
              <w:rPr>
                <w:sz w:val="20"/>
                <w:szCs w:val="20"/>
              </w:rPr>
              <w:t>"</w:t>
            </w:r>
            <w:r>
              <w:rPr>
                <w:sz w:val="20"/>
                <w:szCs w:val="20"/>
              </w:rPr>
              <w:t>far offshore sensing</w:t>
            </w:r>
            <w:proofErr w:type="gramStart"/>
            <w:r>
              <w:rPr>
                <w:sz w:val="20"/>
                <w:szCs w:val="20"/>
              </w:rPr>
              <w:t>"</w:t>
            </w:r>
            <w:r>
              <w:rPr>
                <w:sz w:val="20"/>
                <w:szCs w:val="20"/>
              </w:rPr>
              <w:t>, and</w:t>
            </w:r>
            <w:proofErr w:type="gramEnd"/>
            <w:r>
              <w:rPr>
                <w:sz w:val="20"/>
                <w:szCs w:val="20"/>
              </w:rPr>
              <w:t xml:space="preserve"> will be upgraded from </w:t>
            </w:r>
            <w:r>
              <w:rPr>
                <w:sz w:val="20"/>
                <w:szCs w:val="20"/>
              </w:rPr>
              <w:t>"</w:t>
            </w:r>
            <w:r>
              <w:rPr>
                <w:sz w:val="20"/>
                <w:szCs w:val="20"/>
              </w:rPr>
              <w:t>passive response</w:t>
            </w:r>
            <w:r>
              <w:rPr>
                <w:sz w:val="20"/>
                <w:szCs w:val="20"/>
              </w:rPr>
              <w:t>"</w:t>
            </w:r>
            <w:r>
              <w:rPr>
                <w:sz w:val="20"/>
                <w:szCs w:val="20"/>
              </w:rPr>
              <w:t xml:space="preserve"> to </w:t>
            </w:r>
            <w:r>
              <w:rPr>
                <w:sz w:val="20"/>
                <w:szCs w:val="20"/>
              </w:rPr>
              <w:t>"</w:t>
            </w:r>
            <w:r>
              <w:rPr>
                <w:sz w:val="20"/>
                <w:szCs w:val="20"/>
              </w:rPr>
              <w:t>proactive anticipation</w:t>
            </w:r>
            <w:r>
              <w:rPr>
                <w:sz w:val="20"/>
                <w:szCs w:val="20"/>
              </w:rPr>
              <w:t>"</w:t>
            </w:r>
            <w:r>
              <w:rPr>
                <w:sz w:val="20"/>
                <w:szCs w:val="20"/>
              </w:rPr>
              <w:t>.</w:t>
            </w:r>
          </w:p>
        </w:tc>
      </w:tr>
      <w:tr w:rsidR="002F439C" w14:paraId="731A67E2" w14:textId="77777777">
        <w:trPr>
          <w:trHeight w:val="692"/>
        </w:trPr>
        <w:tc>
          <w:tcPr>
            <w:tcW w:w="2268" w:type="dxa"/>
            <w:shd w:val="clear" w:color="auto" w:fill="66FFFF"/>
          </w:tcPr>
          <w:p w14:paraId="731A67DA"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Key References:</w:t>
            </w:r>
          </w:p>
        </w:tc>
        <w:tc>
          <w:tcPr>
            <w:tcW w:w="7365" w:type="dxa"/>
          </w:tcPr>
          <w:p w14:paraId="731A67DB"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IMO Resolution A.1158(32) Guidelines for Vessel Traffic Services</w:t>
            </w:r>
          </w:p>
          <w:p w14:paraId="731A67DC"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IALA G1185 Enhancing the safety and efficiency of navigation around offshore renewable energy installations (OREI) - Ed 2.0</w:t>
            </w:r>
          </w:p>
          <w:p w14:paraId="731A67DD"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IALA G1121 Navigational safety within marine spatial planning - Ed 1.</w:t>
            </w:r>
            <w:r>
              <w:rPr>
                <w:rFonts w:ascii="Calibri" w:hAnsi="Calibri"/>
                <w:sz w:val="20"/>
                <w:szCs w:val="20"/>
                <w:lang w:val="en-US"/>
              </w:rPr>
              <w:t>0</w:t>
            </w:r>
          </w:p>
          <w:p w14:paraId="731A67DE"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IALA G1070 VTS role in managing restricted or limited access areas - Ed 1.1</w:t>
            </w:r>
          </w:p>
          <w:p w14:paraId="731A67DF"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IALA G1102 VTS interaction with allied or other services - Ed 1.1</w:t>
            </w:r>
          </w:p>
          <w:p w14:paraId="731A67E0" w14:textId="77777777" w:rsidR="002F439C" w:rsidRDefault="002641F8">
            <w:pPr>
              <w:pStyle w:val="ListParagraph"/>
              <w:widowControl w:val="0"/>
              <w:numPr>
                <w:ilvl w:val="0"/>
                <w:numId w:val="17"/>
              </w:numPr>
              <w:spacing w:after="120"/>
              <w:contextualSpacing w:val="0"/>
              <w:jc w:val="both"/>
              <w:rPr>
                <w:rFonts w:ascii="Calibri" w:hAnsi="Calibri"/>
                <w:sz w:val="20"/>
                <w:szCs w:val="20"/>
              </w:rPr>
            </w:pPr>
            <w:r>
              <w:rPr>
                <w:rFonts w:ascii="Calibri" w:hAnsi="Calibri"/>
                <w:sz w:val="20"/>
                <w:szCs w:val="20"/>
              </w:rPr>
              <w:t>IALA G1130 Technical aspects of information exchange between VTS and allied or other services - Ed 2.0</w:t>
            </w:r>
          </w:p>
          <w:p w14:paraId="731A67E1" w14:textId="77777777" w:rsidR="002F439C" w:rsidRDefault="002641F8">
            <w:pPr>
              <w:pStyle w:val="ListParagraph"/>
              <w:widowControl w:val="0"/>
              <w:numPr>
                <w:ilvl w:val="0"/>
                <w:numId w:val="17"/>
              </w:numPr>
              <w:spacing w:after="120"/>
              <w:contextualSpacing w:val="0"/>
              <w:jc w:val="both"/>
              <w:rPr>
                <w:rFonts w:asciiTheme="minorHAnsi" w:hAnsiTheme="minorHAnsi"/>
                <w:sz w:val="20"/>
                <w:szCs w:val="20"/>
              </w:rPr>
            </w:pPr>
            <w:r>
              <w:rPr>
                <w:rFonts w:ascii="Calibri" w:hAnsi="Calibri"/>
                <w:sz w:val="20"/>
                <w:szCs w:val="20"/>
              </w:rPr>
              <w:t>MSC.1/Circ.1686 Amendments to the International Aeronautical and Maritime Search and Rescue (IAMSAR) Manual</w:t>
            </w:r>
          </w:p>
        </w:tc>
      </w:tr>
      <w:tr w:rsidR="002F439C" w14:paraId="731A67E9" w14:textId="77777777">
        <w:trPr>
          <w:trHeight w:val="692"/>
        </w:trPr>
        <w:tc>
          <w:tcPr>
            <w:tcW w:w="2268" w:type="dxa"/>
            <w:shd w:val="clear" w:color="auto" w:fill="66FFFF"/>
          </w:tcPr>
          <w:p w14:paraId="731A67E3"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Link with expectations for Future VTS services</w:t>
            </w:r>
          </w:p>
        </w:tc>
        <w:tc>
          <w:tcPr>
            <w:tcW w:w="7365" w:type="dxa"/>
          </w:tcPr>
          <w:p w14:paraId="731A67E4" w14:textId="77777777" w:rsidR="002F439C" w:rsidRDefault="002641F8">
            <w:pPr>
              <w:pStyle w:val="ListParagraph"/>
              <w:widowControl w:val="0"/>
              <w:numPr>
                <w:ilvl w:val="0"/>
                <w:numId w:val="17"/>
              </w:numPr>
              <w:spacing w:after="120"/>
              <w:ind w:left="714" w:hanging="357"/>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 xml:space="preserve">Far offshore sensing capability: VTS expands from </w:t>
            </w:r>
            <w:r>
              <w:rPr>
                <w:rFonts w:ascii="Calibri" w:eastAsiaTheme="minorEastAsia" w:hAnsi="Calibri"/>
                <w:sz w:val="20"/>
                <w:szCs w:val="20"/>
                <w:lang w:val="en-US" w:eastAsia="zh-CN"/>
              </w:rPr>
              <w:t>"</w:t>
            </w:r>
            <w:r>
              <w:rPr>
                <w:rFonts w:ascii="Calibri" w:eastAsiaTheme="minorEastAsia" w:hAnsi="Calibri"/>
                <w:sz w:val="20"/>
                <w:szCs w:val="20"/>
                <w:lang w:eastAsia="zh-CN"/>
              </w:rPr>
              <w:t>nearshore sensing</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to </w:t>
            </w:r>
            <w:r>
              <w:rPr>
                <w:rFonts w:ascii="Calibri" w:eastAsiaTheme="minorEastAsia" w:hAnsi="Calibri"/>
                <w:sz w:val="20"/>
                <w:szCs w:val="20"/>
                <w:lang w:val="en-US" w:eastAsia="zh-CN"/>
              </w:rPr>
              <w:t>"</w:t>
            </w:r>
            <w:r>
              <w:rPr>
                <w:rFonts w:ascii="Calibri" w:eastAsiaTheme="minorEastAsia" w:hAnsi="Calibri"/>
                <w:sz w:val="20"/>
                <w:szCs w:val="20"/>
                <w:lang w:eastAsia="zh-CN"/>
              </w:rPr>
              <w:t>far offshore sensing</w:t>
            </w:r>
            <w:r>
              <w:rPr>
                <w:rFonts w:ascii="Calibri" w:eastAsiaTheme="minorEastAsia" w:hAnsi="Calibri"/>
                <w:sz w:val="20"/>
                <w:szCs w:val="20"/>
                <w:lang w:val="en-US" w:eastAsia="zh-CN"/>
              </w:rPr>
              <w:t>"</w:t>
            </w:r>
            <w:r>
              <w:rPr>
                <w:rFonts w:ascii="Calibri" w:eastAsiaTheme="minorEastAsia" w:hAnsi="Calibri"/>
                <w:sz w:val="20"/>
                <w:szCs w:val="20"/>
                <w:lang w:eastAsia="zh-CN"/>
              </w:rPr>
              <w:t>, covering the traffic situational awareness of offshore wind farms and the surrounding waters.</w:t>
            </w:r>
          </w:p>
          <w:p w14:paraId="731A67E5" w14:textId="77777777" w:rsidR="002F439C" w:rsidRDefault="002641F8">
            <w:pPr>
              <w:pStyle w:val="ListParagraph"/>
              <w:widowControl w:val="0"/>
              <w:numPr>
                <w:ilvl w:val="0"/>
                <w:numId w:val="17"/>
              </w:numPr>
              <w:spacing w:after="120"/>
              <w:ind w:left="714" w:hanging="357"/>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Detection capability in a complex electromagnetic environment: VTS needs to be able to detect and identify targets at long range in complex conditions such as turbine shadowing and multipath interference.</w:t>
            </w:r>
          </w:p>
          <w:p w14:paraId="731A67E6" w14:textId="77777777" w:rsidR="002F439C" w:rsidRDefault="002641F8">
            <w:pPr>
              <w:pStyle w:val="ListParagraph"/>
              <w:widowControl w:val="0"/>
              <w:numPr>
                <w:ilvl w:val="0"/>
                <w:numId w:val="17"/>
              </w:numPr>
              <w:spacing w:after="120"/>
              <w:ind w:left="714" w:hanging="357"/>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Multi-source data fusion capability: on the basis of the IHO S-100 Universal Hydrographic Data Model and IHO Publication C-17 on marine spatial data infrastructure (MSDI), a digital representation model of the spatial elements of offshore wind farms is built, covering safety zones, cable routes and aids to navigation; multi-source heterogeneous data from radar, AIS, video, drones and meteorological and hydrological sources are then fused to build an integrated maritime domain awareness (MDA) network.</w:t>
            </w:r>
          </w:p>
          <w:p w14:paraId="731A67E7" w14:textId="77777777" w:rsidR="002F439C" w:rsidRDefault="002641F8">
            <w:pPr>
              <w:pStyle w:val="ListParagraph"/>
              <w:widowControl w:val="0"/>
              <w:numPr>
                <w:ilvl w:val="0"/>
                <w:numId w:val="17"/>
              </w:numPr>
              <w:spacing w:after="120"/>
              <w:ind w:left="714" w:hanging="357"/>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Intelligent system integration capability: the integrated application of intelligent management information systems such as IMIS is supported, using AI to assist information assessment and early warning.</w:t>
            </w:r>
          </w:p>
          <w:p w14:paraId="731A67E8" w14:textId="77777777" w:rsidR="002F439C" w:rsidRDefault="002641F8">
            <w:pPr>
              <w:pStyle w:val="ListParagraph"/>
              <w:widowControl w:val="0"/>
              <w:numPr>
                <w:ilvl w:val="0"/>
                <w:numId w:val="17"/>
              </w:numPr>
              <w:spacing w:after="120"/>
              <w:ind w:left="714" w:hanging="357"/>
              <w:contextualSpacing w:val="0"/>
              <w:jc w:val="both"/>
              <w:rPr>
                <w:rFonts w:asciiTheme="minorHAnsi" w:hAnsiTheme="minorHAnsi"/>
                <w:sz w:val="20"/>
                <w:szCs w:val="20"/>
              </w:rPr>
            </w:pPr>
            <w:r>
              <w:rPr>
                <w:rFonts w:ascii="Calibri" w:eastAsiaTheme="minorEastAsia" w:hAnsi="Calibri"/>
                <w:sz w:val="20"/>
                <w:szCs w:val="20"/>
                <w:lang w:eastAsia="zh-CN"/>
              </w:rPr>
              <w:t>Cross-sector information coordination capability: standardized information coordination is achieved between VTS and the maritime, wind power, environmental protection, meteorological and other authorities.</w:t>
            </w:r>
          </w:p>
        </w:tc>
      </w:tr>
      <w:tr w:rsidR="002F439C" w14:paraId="731A67EE" w14:textId="77777777">
        <w:trPr>
          <w:trHeight w:val="692"/>
        </w:trPr>
        <w:tc>
          <w:tcPr>
            <w:tcW w:w="2268" w:type="dxa"/>
            <w:shd w:val="clear" w:color="auto" w:fill="66FFFF"/>
          </w:tcPr>
          <w:p w14:paraId="731A67EA"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Potential Impact/s:</w:t>
            </w:r>
          </w:p>
        </w:tc>
        <w:tc>
          <w:tcPr>
            <w:tcW w:w="7365" w:type="dxa"/>
          </w:tcPr>
          <w:p w14:paraId="731A67EB"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 xml:space="preserve">The large-scale development of OREI, and their practical demands on the sensing, communication and coordination capabilities of VTS, may require clear service guidelines, legal and regulatory frameworks and technical standards to be established. This process may involve coordination and alignment with other international organizations such as IHO and IMO, </w:t>
            </w:r>
            <w:proofErr w:type="gramStart"/>
            <w:r>
              <w:rPr>
                <w:rFonts w:ascii="Calibri" w:eastAsiaTheme="minorEastAsia" w:hAnsi="Calibri"/>
                <w:sz w:val="20"/>
                <w:szCs w:val="20"/>
                <w:lang w:eastAsia="zh-CN"/>
              </w:rPr>
              <w:t>so as to</w:t>
            </w:r>
            <w:proofErr w:type="gramEnd"/>
            <w:r>
              <w:rPr>
                <w:rFonts w:ascii="Calibri" w:eastAsiaTheme="minorEastAsia" w:hAnsi="Calibri"/>
                <w:sz w:val="20"/>
                <w:szCs w:val="20"/>
                <w:lang w:eastAsia="zh-CN"/>
              </w:rPr>
              <w:t xml:space="preserve"> ensure effective institutional coherence with renewable energy development.</w:t>
            </w:r>
          </w:p>
          <w:p w14:paraId="731A67EC"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lastRenderedPageBreak/>
              <w:t xml:space="preserve">Safety governance in OREI waters inherently involves multiple stakeholders such as maritime authorities, wind power operators, SAR agencies and environmental protection administrations. The growing demand for information sharing and joint emergency response is expected to foster more </w:t>
            </w:r>
            <w:r>
              <w:rPr>
                <w:rFonts w:ascii="Calibri" w:eastAsiaTheme="minorEastAsia" w:hAnsi="Calibri" w:hint="eastAsia"/>
                <w:sz w:val="20"/>
                <w:szCs w:val="20"/>
                <w:lang w:eastAsia="zh-CN"/>
              </w:rPr>
              <w:t>institutionalized</w:t>
            </w:r>
            <w:r>
              <w:rPr>
                <w:rFonts w:ascii="Calibri" w:eastAsiaTheme="minorEastAsia" w:hAnsi="Calibri"/>
                <w:sz w:val="20"/>
                <w:szCs w:val="20"/>
                <w:lang w:eastAsia="zh-CN"/>
              </w:rPr>
              <w:t xml:space="preserve"> inter-agency collaborative governance mechanisms at the regional level. Leveraging precise vessel movement monitoring and cross-sector data sharing, VTS will provide data support for multi-agency decision-making, with its future development centred on technology-enabled data exchange and streamlined process integration.</w:t>
            </w:r>
          </w:p>
          <w:p w14:paraId="731A67ED" w14:textId="77777777" w:rsidR="002F439C" w:rsidRDefault="002641F8">
            <w:pPr>
              <w:pStyle w:val="ListParagraph"/>
              <w:numPr>
                <w:ilvl w:val="0"/>
                <w:numId w:val="18"/>
              </w:numPr>
              <w:spacing w:after="120"/>
              <w:ind w:left="714" w:hanging="323"/>
              <w:contextualSpacing w:val="0"/>
              <w:jc w:val="both"/>
              <w:rPr>
                <w:rFonts w:asciiTheme="minorHAnsi" w:hAnsiTheme="minorHAnsi"/>
                <w:sz w:val="20"/>
                <w:szCs w:val="20"/>
              </w:rPr>
            </w:pPr>
            <w:r>
              <w:rPr>
                <w:rFonts w:ascii="Calibri" w:eastAsiaTheme="minorEastAsia" w:hAnsi="Calibri"/>
                <w:sz w:val="20"/>
                <w:szCs w:val="20"/>
                <w:lang w:eastAsia="zh-CN"/>
              </w:rPr>
              <w:t xml:space="preserve">Existing VTS systems are mainly built on conventional subsystems such as traffic management, data processing and VHF, and their architecture cannot readily accommodate the sensing and communication requirements of OREI in far offshore environments. </w:t>
            </w:r>
            <w:proofErr w:type="gramStart"/>
            <w:r>
              <w:rPr>
                <w:rFonts w:ascii="Calibri" w:eastAsiaTheme="minorEastAsia" w:hAnsi="Calibri"/>
                <w:sz w:val="20"/>
                <w:szCs w:val="20"/>
                <w:lang w:eastAsia="zh-CN"/>
              </w:rPr>
              <w:t>In order to</w:t>
            </w:r>
            <w:proofErr w:type="gramEnd"/>
            <w:r>
              <w:rPr>
                <w:rFonts w:ascii="Calibri" w:eastAsiaTheme="minorEastAsia" w:hAnsi="Calibri"/>
                <w:sz w:val="20"/>
                <w:szCs w:val="20"/>
                <w:lang w:eastAsia="zh-CN"/>
              </w:rPr>
              <w:t xml:space="preserve"> adapt to OREI regulatory scenarios, it may be necessary to reconstruct the underlying technology </w:t>
            </w:r>
            <w:proofErr w:type="gramStart"/>
            <w:r>
              <w:rPr>
                <w:rFonts w:ascii="Calibri" w:eastAsiaTheme="minorEastAsia" w:hAnsi="Calibri"/>
                <w:sz w:val="20"/>
                <w:szCs w:val="20"/>
                <w:lang w:eastAsia="zh-CN"/>
              </w:rPr>
              <w:t>on the basis of</w:t>
            </w:r>
            <w:proofErr w:type="gramEnd"/>
            <w:r>
              <w:rPr>
                <w:rFonts w:ascii="Calibri" w:eastAsiaTheme="minorEastAsia" w:hAnsi="Calibri"/>
                <w:sz w:val="20"/>
                <w:szCs w:val="20"/>
                <w:lang w:eastAsia="zh-CN"/>
              </w:rPr>
              <w:t xml:space="preserve"> the IHO S-100 Universal Hydrographic Data Model, so that the future VTS evolves from the existing discrete architecture towards standardization and digitalization. This process may involve the in-depth integration and modification of hardware and software and the standardized interfacing of different systems.</w:t>
            </w:r>
          </w:p>
        </w:tc>
      </w:tr>
      <w:tr w:rsidR="002F439C" w14:paraId="731A67F1" w14:textId="77777777">
        <w:trPr>
          <w:trHeight w:val="506"/>
        </w:trPr>
        <w:tc>
          <w:tcPr>
            <w:tcW w:w="2268" w:type="dxa"/>
            <w:shd w:val="clear" w:color="auto" w:fill="66FFFF"/>
          </w:tcPr>
          <w:p w14:paraId="731A67EF"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lastRenderedPageBreak/>
              <w:t>Expected Timeframe:</w:t>
            </w:r>
          </w:p>
        </w:tc>
        <w:tc>
          <w:tcPr>
            <w:tcW w:w="7365" w:type="dxa"/>
          </w:tcPr>
          <w:p w14:paraId="731A67F0" w14:textId="77777777" w:rsidR="002F439C" w:rsidRDefault="002641F8">
            <w:pPr>
              <w:pStyle w:val="BodyText"/>
              <w:spacing w:line="240" w:lineRule="auto"/>
              <w:rPr>
                <w:rFonts w:asciiTheme="minorHAnsi" w:hAnsiTheme="minorHAnsi"/>
                <w:sz w:val="20"/>
                <w:szCs w:val="20"/>
              </w:rPr>
            </w:pPr>
            <w:r>
              <w:rPr>
                <w:sz w:val="20"/>
                <w:szCs w:val="20"/>
              </w:rPr>
              <w:t>In 2026-2035</w:t>
            </w:r>
          </w:p>
        </w:tc>
      </w:tr>
      <w:tr w:rsidR="002F439C" w14:paraId="731A6802" w14:textId="77777777">
        <w:trPr>
          <w:trHeight w:val="692"/>
        </w:trPr>
        <w:tc>
          <w:tcPr>
            <w:tcW w:w="2268" w:type="dxa"/>
            <w:shd w:val="clear" w:color="auto" w:fill="66FFFF"/>
          </w:tcPr>
          <w:p w14:paraId="731A67F2"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Challenges:</w:t>
            </w:r>
          </w:p>
        </w:tc>
        <w:tc>
          <w:tcPr>
            <w:tcW w:w="7365" w:type="dxa"/>
          </w:tcPr>
          <w:p w14:paraId="731A67F3"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Technical challenges:</w:t>
            </w:r>
          </w:p>
          <w:p w14:paraId="731A67F4"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Systematic shadowing and multipath interference of radar detection caused by turbine towers and blades.</w:t>
            </w:r>
          </w:p>
          <w:p w14:paraId="731A67F5"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The effect of wind farms on VHF communication and on the propagation of AIS signals.</w:t>
            </w:r>
          </w:p>
          <w:p w14:paraId="731A67F6"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The effect of wind farms on shore-based radio direction finders.</w:t>
            </w:r>
          </w:p>
          <w:p w14:paraId="731A67F7"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Conflicts and synchronization problems in multi-source data fusion (radar, AIS and video).</w:t>
            </w:r>
          </w:p>
          <w:p w14:paraId="731A67F8"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Construction of communication links for far offshore projects more than 50 nautical miles from the coast, by microwave link or by submarine optical-fibre composite power cable.</w:t>
            </w:r>
          </w:p>
          <w:p w14:paraId="731A67F9"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Operational challenges:</w:t>
            </w:r>
          </w:p>
          <w:p w14:paraId="731A67FA"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Information coordination between wind power enterprises and VTS is not yet routine.</w:t>
            </w:r>
          </w:p>
          <w:p w14:paraId="731A67FB"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Planning of transit routes and refuge areas within OREI areas for search and rescue and emergency response.</w:t>
            </w:r>
          </w:p>
          <w:p w14:paraId="731A67FC"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Regulatory and institutional challenges:</w:t>
            </w:r>
          </w:p>
          <w:p w14:paraId="731A67FD"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 xml:space="preserve">VTS is required to provide services in OREI </w:t>
            </w:r>
            <w:proofErr w:type="gramStart"/>
            <w:r>
              <w:rPr>
                <w:rFonts w:ascii="Calibri" w:eastAsiaTheme="minorEastAsia" w:hAnsi="Calibri"/>
                <w:sz w:val="20"/>
                <w:szCs w:val="20"/>
                <w:lang w:eastAsia="zh-CN"/>
              </w:rPr>
              <w:t>waters, but</w:t>
            </w:r>
            <w:proofErr w:type="gramEnd"/>
            <w:r>
              <w:rPr>
                <w:rFonts w:ascii="Calibri" w:eastAsiaTheme="minorEastAsia" w:hAnsi="Calibri"/>
                <w:sz w:val="20"/>
                <w:szCs w:val="20"/>
                <w:lang w:eastAsia="zh-CN"/>
              </w:rPr>
              <w:t xml:space="preserve"> lacks the corresponding service capability in some far offshore OREI waters because of insufficient sensing capability.</w:t>
            </w:r>
          </w:p>
          <w:p w14:paraId="731A67FE"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Cross-sector data sharing mechanisms are not well established. In balancing data asset rights against access to sensing data, the difficulty lies in how to feed the sensing data of wind farm systems into VTS systems without compromising cyber security or data ownership.</w:t>
            </w:r>
          </w:p>
          <w:p w14:paraId="731A67FF" w14:textId="77777777" w:rsidR="002F439C" w:rsidRDefault="002F439C">
            <w:pPr>
              <w:pStyle w:val="ListParagraph"/>
              <w:spacing w:after="120"/>
              <w:ind w:left="0"/>
              <w:contextualSpacing w:val="0"/>
              <w:jc w:val="both"/>
              <w:rPr>
                <w:rFonts w:ascii="Calibri" w:eastAsiaTheme="minorEastAsia" w:hAnsi="Calibri"/>
                <w:sz w:val="20"/>
                <w:szCs w:val="20"/>
                <w:lang w:eastAsia="zh-CN"/>
              </w:rPr>
            </w:pPr>
          </w:p>
          <w:p w14:paraId="731A6800"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VTS operator competence challenges:</w:t>
            </w:r>
          </w:p>
          <w:p w14:paraId="731A6801" w14:textId="77777777" w:rsidR="002F439C" w:rsidRDefault="002641F8">
            <w:pPr>
              <w:pStyle w:val="ListParagraph"/>
              <w:numPr>
                <w:ilvl w:val="0"/>
                <w:numId w:val="18"/>
              </w:numPr>
              <w:spacing w:after="120"/>
              <w:ind w:left="714" w:hanging="323"/>
              <w:contextualSpacing w:val="0"/>
              <w:jc w:val="both"/>
              <w:rPr>
                <w:rFonts w:asciiTheme="minorHAnsi" w:hAnsiTheme="minorHAnsi"/>
                <w:sz w:val="20"/>
                <w:szCs w:val="20"/>
              </w:rPr>
            </w:pPr>
            <w:r>
              <w:rPr>
                <w:rFonts w:ascii="Calibri" w:eastAsiaTheme="minorEastAsia" w:hAnsi="Calibri"/>
                <w:sz w:val="20"/>
                <w:szCs w:val="20"/>
                <w:lang w:eastAsia="zh-CN"/>
              </w:rPr>
              <w:t xml:space="preserve">The competence of VTS operators needs to be improved so that they </w:t>
            </w:r>
            <w:proofErr w:type="gramStart"/>
            <w:r>
              <w:rPr>
                <w:rFonts w:ascii="Calibri" w:eastAsiaTheme="minorEastAsia" w:hAnsi="Calibri"/>
                <w:sz w:val="20"/>
                <w:szCs w:val="20"/>
                <w:lang w:eastAsia="zh-CN"/>
              </w:rPr>
              <w:t>are able to</w:t>
            </w:r>
            <w:proofErr w:type="gramEnd"/>
            <w:r>
              <w:rPr>
                <w:rFonts w:ascii="Calibri" w:eastAsiaTheme="minorEastAsia" w:hAnsi="Calibri"/>
                <w:sz w:val="20"/>
                <w:szCs w:val="20"/>
                <w:lang w:eastAsia="zh-CN"/>
              </w:rPr>
              <w:t xml:space="preserve"> manage the complex three-dimensional interactions involving fixed installations, unmanned equipment and dynamic environmental threats.</w:t>
            </w:r>
          </w:p>
        </w:tc>
      </w:tr>
      <w:tr w:rsidR="002F439C" w14:paraId="731A6808" w14:textId="77777777">
        <w:trPr>
          <w:trHeight w:val="692"/>
        </w:trPr>
        <w:tc>
          <w:tcPr>
            <w:tcW w:w="2268" w:type="dxa"/>
            <w:shd w:val="clear" w:color="auto" w:fill="66FFFF"/>
          </w:tcPr>
          <w:p w14:paraId="731A6803"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lastRenderedPageBreak/>
              <w:t>Opportunities:</w:t>
            </w:r>
          </w:p>
        </w:tc>
        <w:tc>
          <w:tcPr>
            <w:tcW w:w="7365" w:type="dxa"/>
          </w:tcPr>
          <w:p w14:paraId="731A6804"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 xml:space="preserve">Strategic capability advancement: the strategic upgrade of future VTS services from </w:t>
            </w:r>
            <w:r>
              <w:rPr>
                <w:rFonts w:ascii="Calibri" w:eastAsiaTheme="minorEastAsia" w:hAnsi="Calibri"/>
                <w:sz w:val="20"/>
                <w:szCs w:val="20"/>
                <w:lang w:val="en-US" w:eastAsia="zh-CN"/>
              </w:rPr>
              <w:t>"</w:t>
            </w:r>
            <w:r>
              <w:rPr>
                <w:rFonts w:ascii="Calibri" w:eastAsiaTheme="minorEastAsia" w:hAnsi="Calibri"/>
                <w:sz w:val="20"/>
                <w:szCs w:val="20"/>
                <w:lang w:eastAsia="zh-CN"/>
              </w:rPr>
              <w:t>nearshore sensing</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to </w:t>
            </w:r>
            <w:r>
              <w:rPr>
                <w:rFonts w:ascii="Calibri" w:eastAsiaTheme="minorEastAsia" w:hAnsi="Calibri"/>
                <w:sz w:val="20"/>
                <w:szCs w:val="20"/>
                <w:lang w:val="en-US" w:eastAsia="zh-CN"/>
              </w:rPr>
              <w:t>"</w:t>
            </w:r>
            <w:r>
              <w:rPr>
                <w:rFonts w:ascii="Calibri" w:eastAsiaTheme="minorEastAsia" w:hAnsi="Calibri"/>
                <w:sz w:val="20"/>
                <w:szCs w:val="20"/>
                <w:lang w:eastAsia="zh-CN"/>
              </w:rPr>
              <w:t>far offshore sensing</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and from </w:t>
            </w:r>
            <w:r>
              <w:rPr>
                <w:rFonts w:ascii="Calibri" w:eastAsiaTheme="minorEastAsia" w:hAnsi="Calibri"/>
                <w:sz w:val="20"/>
                <w:szCs w:val="20"/>
                <w:lang w:val="en-US" w:eastAsia="zh-CN"/>
              </w:rPr>
              <w:t>"</w:t>
            </w:r>
            <w:r>
              <w:rPr>
                <w:rFonts w:ascii="Calibri" w:eastAsiaTheme="minorEastAsia" w:hAnsi="Calibri"/>
                <w:sz w:val="20"/>
                <w:szCs w:val="20"/>
                <w:lang w:eastAsia="zh-CN"/>
              </w:rPr>
              <w:t>passive response</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to </w:t>
            </w:r>
            <w:r>
              <w:rPr>
                <w:rFonts w:ascii="Calibri" w:eastAsiaTheme="minorEastAsia" w:hAnsi="Calibri"/>
                <w:sz w:val="20"/>
                <w:szCs w:val="20"/>
                <w:lang w:val="en-US" w:eastAsia="zh-CN"/>
              </w:rPr>
              <w:t>"</w:t>
            </w:r>
            <w:r>
              <w:rPr>
                <w:rFonts w:ascii="Calibri" w:eastAsiaTheme="minorEastAsia" w:hAnsi="Calibri"/>
                <w:sz w:val="20"/>
                <w:szCs w:val="20"/>
                <w:lang w:eastAsia="zh-CN"/>
              </w:rPr>
              <w:t>proactive anticipation</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is driven forward, and a typical scenario is provided for the VTS technology evolution roadmap.</w:t>
            </w:r>
          </w:p>
          <w:p w14:paraId="731A6805"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Technology platform upgrade: a new generation of VTS sensing platforms integrating radar, AIS, video and meteorological data will emerge, promoting the development of multi-source data fusion and three-dimensional situational awareness.</w:t>
            </w:r>
          </w:p>
          <w:p w14:paraId="731A6806" w14:textId="77777777" w:rsidR="002F439C" w:rsidRDefault="002641F8">
            <w:pPr>
              <w:pStyle w:val="ListParagraph"/>
              <w:numPr>
                <w:ilvl w:val="0"/>
                <w:numId w:val="18"/>
              </w:numPr>
              <w:spacing w:after="120"/>
              <w:ind w:left="714" w:hanging="323"/>
              <w:contextualSpacing w:val="0"/>
              <w:jc w:val="both"/>
              <w:rPr>
                <w:rFonts w:ascii="Calibri" w:eastAsiaTheme="minorEastAsia" w:hAnsi="Calibri"/>
                <w:sz w:val="20"/>
                <w:szCs w:val="20"/>
                <w:lang w:eastAsia="zh-CN"/>
              </w:rPr>
            </w:pPr>
            <w:r>
              <w:rPr>
                <w:rFonts w:ascii="Calibri" w:eastAsiaTheme="minorEastAsia" w:hAnsi="Calibri"/>
                <w:sz w:val="20"/>
                <w:szCs w:val="20"/>
                <w:lang w:eastAsia="zh-CN"/>
              </w:rPr>
              <w:t xml:space="preserve">Coordinated industrial development: the harmonious development of maritime shipping and offshore renewable energy is promoted, achieving the coordinated advancement of the </w:t>
            </w:r>
            <w:r>
              <w:rPr>
                <w:rFonts w:ascii="Calibri" w:eastAsiaTheme="minorEastAsia" w:hAnsi="Calibri"/>
                <w:sz w:val="20"/>
                <w:szCs w:val="20"/>
                <w:lang w:val="en-US" w:eastAsia="zh-CN"/>
              </w:rPr>
              <w:t>"</w:t>
            </w:r>
            <w:r>
              <w:rPr>
                <w:rFonts w:ascii="Calibri" w:eastAsiaTheme="minorEastAsia" w:hAnsi="Calibri"/>
                <w:sz w:val="20"/>
                <w:szCs w:val="20"/>
                <w:lang w:eastAsia="zh-CN"/>
              </w:rPr>
              <w:t>blue economy</w:t>
            </w:r>
            <w:r>
              <w:rPr>
                <w:rFonts w:ascii="Calibri" w:eastAsiaTheme="minorEastAsia" w:hAnsi="Calibri"/>
                <w:sz w:val="20"/>
                <w:szCs w:val="20"/>
                <w:lang w:val="en-US" w:eastAsia="zh-CN"/>
              </w:rPr>
              <w:t>"</w:t>
            </w:r>
            <w:r>
              <w:rPr>
                <w:rFonts w:ascii="Calibri" w:eastAsiaTheme="minorEastAsia" w:hAnsi="Calibri"/>
                <w:sz w:val="20"/>
                <w:szCs w:val="20"/>
                <w:lang w:eastAsia="zh-CN"/>
              </w:rPr>
              <w:t xml:space="preserve"> and </w:t>
            </w:r>
            <w:r>
              <w:rPr>
                <w:rFonts w:ascii="Calibri" w:eastAsiaTheme="minorEastAsia" w:hAnsi="Calibri"/>
                <w:sz w:val="20"/>
                <w:szCs w:val="20"/>
                <w:lang w:val="en-US" w:eastAsia="zh-CN"/>
              </w:rPr>
              <w:t>"</w:t>
            </w:r>
            <w:r>
              <w:rPr>
                <w:rFonts w:ascii="Calibri" w:eastAsiaTheme="minorEastAsia" w:hAnsi="Calibri"/>
                <w:sz w:val="20"/>
                <w:szCs w:val="20"/>
                <w:lang w:eastAsia="zh-CN"/>
              </w:rPr>
              <w:t>green development</w:t>
            </w:r>
            <w:r>
              <w:rPr>
                <w:rFonts w:ascii="Calibri" w:eastAsiaTheme="minorEastAsia" w:hAnsi="Calibri"/>
                <w:sz w:val="20"/>
                <w:szCs w:val="20"/>
                <w:lang w:val="en-US" w:eastAsia="zh-CN"/>
              </w:rPr>
              <w:t>"</w:t>
            </w:r>
            <w:r>
              <w:rPr>
                <w:rFonts w:ascii="Calibri" w:eastAsiaTheme="minorEastAsia" w:hAnsi="Calibri"/>
                <w:sz w:val="20"/>
                <w:szCs w:val="20"/>
                <w:lang w:eastAsia="zh-CN"/>
              </w:rPr>
              <w:t>.</w:t>
            </w:r>
          </w:p>
          <w:p w14:paraId="731A6807" w14:textId="77777777" w:rsidR="002F439C" w:rsidRDefault="002641F8">
            <w:pPr>
              <w:pStyle w:val="ListParagraph"/>
              <w:numPr>
                <w:ilvl w:val="0"/>
                <w:numId w:val="18"/>
              </w:numPr>
              <w:spacing w:after="120"/>
              <w:ind w:left="714" w:hanging="323"/>
              <w:contextualSpacing w:val="0"/>
              <w:jc w:val="both"/>
              <w:rPr>
                <w:rFonts w:asciiTheme="minorHAnsi" w:hAnsiTheme="minorHAnsi"/>
                <w:sz w:val="20"/>
                <w:szCs w:val="20"/>
              </w:rPr>
            </w:pPr>
            <w:r>
              <w:rPr>
                <w:rFonts w:ascii="Calibri" w:eastAsiaTheme="minorEastAsia" w:hAnsi="Calibri"/>
                <w:sz w:val="20"/>
                <w:szCs w:val="20"/>
                <w:lang w:eastAsia="zh-CN"/>
              </w:rPr>
              <w:t>Synergy with IMIS: the regulatory requirements of offshore wind farms can be integrated with the Intelligent Management Information System (IMIS), using AI technology to assist information assessment and early warning and to raise the level of intelligence of VTS.</w:t>
            </w:r>
          </w:p>
        </w:tc>
      </w:tr>
      <w:tr w:rsidR="002F439C" w14:paraId="731A680C" w14:textId="77777777">
        <w:trPr>
          <w:trHeight w:val="692"/>
        </w:trPr>
        <w:tc>
          <w:tcPr>
            <w:tcW w:w="2268" w:type="dxa"/>
            <w:shd w:val="clear" w:color="auto" w:fill="66FFFF"/>
          </w:tcPr>
          <w:p w14:paraId="731A6809" w14:textId="77777777" w:rsidR="002F439C" w:rsidRDefault="002641F8">
            <w:pPr>
              <w:pStyle w:val="BodyText"/>
              <w:spacing w:before="60" w:line="240" w:lineRule="auto"/>
              <w:rPr>
                <w:rFonts w:asciiTheme="minorHAnsi" w:hAnsiTheme="minorHAnsi"/>
                <w:sz w:val="20"/>
                <w:szCs w:val="20"/>
              </w:rPr>
            </w:pPr>
            <w:r>
              <w:rPr>
                <w:rFonts w:asciiTheme="minorHAnsi" w:hAnsiTheme="minorHAnsi"/>
                <w:b/>
                <w:sz w:val="20"/>
                <w:szCs w:val="20"/>
              </w:rPr>
              <w:t>Committee Action / Response in place:</w:t>
            </w:r>
          </w:p>
        </w:tc>
        <w:tc>
          <w:tcPr>
            <w:tcW w:w="7365" w:type="dxa"/>
          </w:tcPr>
          <w:p w14:paraId="731A680A" w14:textId="77777777" w:rsidR="002F439C" w:rsidRDefault="002641F8">
            <w:pPr>
              <w:pStyle w:val="BodyText"/>
              <w:spacing w:line="240" w:lineRule="auto"/>
              <w:rPr>
                <w:sz w:val="20"/>
                <w:szCs w:val="20"/>
              </w:rPr>
            </w:pPr>
            <w:r>
              <w:rPr>
                <w:sz w:val="20"/>
                <w:szCs w:val="20"/>
              </w:rPr>
              <w:t>Task to commence at VTS60.</w:t>
            </w:r>
          </w:p>
          <w:p w14:paraId="731A680B" w14:textId="77777777" w:rsidR="002F439C" w:rsidRDefault="002641F8">
            <w:pPr>
              <w:pStyle w:val="BodyText"/>
              <w:spacing w:line="240" w:lineRule="auto"/>
              <w:rPr>
                <w:rFonts w:asciiTheme="minorHAnsi" w:hAnsiTheme="minorHAnsi"/>
                <w:sz w:val="20"/>
                <w:szCs w:val="20"/>
              </w:rPr>
            </w:pPr>
            <w:r>
              <w:rPr>
                <w:sz w:val="20"/>
                <w:szCs w:val="20"/>
              </w:rPr>
              <w:t>The Committee is invited to consider the impact of OREI on the future VTS, to consider the opportunities and the challenges that OREI presents, and to incorporate the development of OREI into the subsequent work plan.</w:t>
            </w:r>
          </w:p>
        </w:tc>
      </w:tr>
    </w:tbl>
    <w:p w14:paraId="731A680D" w14:textId="77777777" w:rsidR="002F439C" w:rsidRDefault="002F439C">
      <w:pPr>
        <w:pStyle w:val="BodyText"/>
      </w:pPr>
    </w:p>
    <w:sectPr w:rsidR="002F439C">
      <w:headerReference w:type="even" r:id="rId11"/>
      <w:headerReference w:type="default" r:id="rId12"/>
      <w:footerReference w:type="default" r:id="rId13"/>
      <w:headerReference w:type="first" r:id="rId14"/>
      <w:footerReference w:type="firs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29D16" w14:textId="77777777" w:rsidR="002641F8" w:rsidRDefault="002641F8">
      <w:r>
        <w:separator/>
      </w:r>
    </w:p>
  </w:endnote>
  <w:endnote w:type="continuationSeparator" w:id="0">
    <w:p w14:paraId="4B7B0C66" w14:textId="77777777" w:rsidR="002641F8" w:rsidRDefault="0026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sig w:usb0="E0000AFF" w:usb1="00007843" w:usb2="00000001" w:usb3="00000000" w:csb0="400001BF" w:csb1="DFF7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AFF" w:usb1="C000605B" w:usb2="00000029" w:usb3="00000000" w:csb0="200101FF" w:csb1="2028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810" w14:textId="77777777" w:rsidR="002F439C" w:rsidRDefault="002641F8">
    <w:pPr>
      <w:pStyle w:val="Footer"/>
      <w:rPr>
        <w:rFonts w:ascii="Calibri" w:hAnsi="Calibri"/>
        <w:sz w:val="18"/>
        <w:szCs w:val="18"/>
        <w:lang w:eastAsia="zh-CN"/>
      </w:rPr>
    </w:pPr>
    <w:r>
      <w:rPr>
        <w:rFonts w:ascii="Calibri" w:hAnsi="Calibri"/>
        <w:sz w:val="18"/>
        <w:szCs w:val="18"/>
        <w:lang w:eastAsia="zh-CN"/>
      </w:rPr>
      <w:t>Proposal on Incorporating Offshore Renewable Energy Installations (OREI) into the Emerging Trends of the Future VTS</w:t>
    </w:r>
  </w:p>
  <w:p w14:paraId="731A6811" w14:textId="77777777" w:rsidR="002F439C" w:rsidRDefault="002641F8">
    <w:pPr>
      <w:pStyle w:val="Footer"/>
      <w:rPr>
        <w:rFonts w:ascii="Calibri" w:hAnsi="Calibri"/>
        <w:lang w:eastAsia="zh-CN"/>
      </w:rPr>
    </w:pPr>
    <w:r>
      <w:rPr>
        <w:noProof/>
      </w:rPr>
      <mc:AlternateContent>
        <mc:Choice Requires="wps">
          <w:drawing>
            <wp:anchor distT="0" distB="0" distL="114300" distR="114300" simplePos="0" relativeHeight="251661312" behindDoc="0" locked="0" layoutInCell="1" allowOverlap="1" wp14:anchorId="731A6818" wp14:editId="731A681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1A681C" w14:textId="77777777" w:rsidR="002F439C" w:rsidRDefault="002641F8">
                          <w:pPr>
                            <w:pStyle w:val="Footer"/>
                            <w:jc w:val="center"/>
                          </w:pPr>
                          <w:r>
                            <w:rPr>
                              <w:rFonts w:ascii="Calibri" w:hAnsi="Calibri"/>
                            </w:rPr>
                            <w:fldChar w:fldCharType="begin"/>
                          </w:r>
                          <w:r>
                            <w:rPr>
                              <w:rFonts w:ascii="Calibri" w:hAnsi="Calibri"/>
                              <w:lang w:eastAsia="zh-CN"/>
                            </w:rPr>
                            <w:instrText xml:space="preserve"> PAGE   \* MERGEFORMAT </w:instrText>
                          </w:r>
                          <w:r>
                            <w:rPr>
                              <w:rFonts w:ascii="Calibri" w:hAnsi="Calibri"/>
                            </w:rPr>
                            <w:fldChar w:fldCharType="separate"/>
                          </w:r>
                          <w:r>
                            <w:rPr>
                              <w:rFonts w:ascii="Calibri" w:hAnsi="Calibri"/>
                              <w:lang w:eastAsia="zh-CN"/>
                            </w:rPr>
                            <w:t>4</w:t>
                          </w:r>
                          <w:r>
                            <w:rPr>
                              <w:rFonts w:ascii="Calibri" w:hAnsi="Calibri"/>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DE74A9">
                    <w:pPr>
                      <w:pStyle w:val="21"/>
                      <w:jc w:val="center"/>
                    </w:pPr>
                    <w:r>
                      <w:rPr>
                        <w:rFonts w:ascii="Calibri" w:hAnsi="Calibri"/>
                      </w:rPr>
                      <w:fldChar w:fldCharType="begin"/>
                    </w:r>
                    <w:r>
                      <w:rPr>
                        <w:rFonts w:ascii="Calibri" w:hAnsi="Calibri"/>
                        <w:lang w:eastAsia="zh-CN"/>
                      </w:rPr>
                      <w:instrText xml:space="preserve"> PAGE   \* MERGEFORMAT </w:instrText>
                    </w:r>
                    <w:r>
                      <w:rPr>
                        <w:rFonts w:ascii="Calibri" w:hAnsi="Calibri"/>
                      </w:rPr>
                      <w:fldChar w:fldCharType="separate"/>
                    </w:r>
                    <w:r>
                      <w:rPr>
                        <w:rFonts w:ascii="Calibri" w:hAnsi="Calibri"/>
                        <w:lang w:eastAsia="zh-CN"/>
                      </w:rPr>
                      <w:t>4</w:t>
                    </w:r>
                    <w:r>
                      <w:rPr>
                        <w:rFonts w:ascii="Calibri" w:hAnsi="Calibri"/>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815" w14:textId="77777777" w:rsidR="002F439C" w:rsidRDefault="002641F8">
    <w:pPr>
      <w:pStyle w:val="Footer"/>
    </w:pPr>
    <w:r>
      <w:rPr>
        <w:rFonts w:ascii="Calibri" w:hAnsi="Calibri"/>
        <w:sz w:val="18"/>
        <w:szCs w:val="18"/>
        <w:lang w:eastAsia="zh-CN"/>
      </w:rPr>
      <w:t>Proposal on Incorporating Offshore Renewable Energy Installations (OREI) into the Emerging Trends of the Future VTS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DC1B5" w14:textId="77777777" w:rsidR="002641F8" w:rsidRDefault="002641F8">
      <w:r>
        <w:separator/>
      </w:r>
    </w:p>
  </w:footnote>
  <w:footnote w:type="continuationSeparator" w:id="0">
    <w:p w14:paraId="2C71C996" w14:textId="77777777" w:rsidR="002641F8" w:rsidRDefault="0026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80E" w14:textId="77777777" w:rsidR="002F439C" w:rsidRDefault="002F4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80F" w14:textId="77777777" w:rsidR="002F439C" w:rsidRDefault="002641F8">
    <w:pPr>
      <w:pStyle w:val="Header"/>
      <w:jc w:val="right"/>
    </w:pPr>
    <w:r>
      <w:rPr>
        <w:noProof/>
        <w:lang w:val="en-US" w:eastAsia="zh-CN"/>
      </w:rPr>
      <w:drawing>
        <wp:anchor distT="0" distB="0" distL="114300" distR="114300" simplePos="0" relativeHeight="251659264" behindDoc="0" locked="0" layoutInCell="1" allowOverlap="1" wp14:anchorId="731A6816" wp14:editId="731A6817">
          <wp:simplePos x="0" y="0"/>
          <wp:positionH relativeFrom="column">
            <wp:posOffset>5447030</wp:posOffset>
          </wp:positionH>
          <wp:positionV relativeFrom="paragraph">
            <wp:posOffset>-427990</wp:posOffset>
          </wp:positionV>
          <wp:extent cx="574675" cy="560070"/>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812" w14:textId="77777777" w:rsidR="002F439C" w:rsidRDefault="002641F8">
    <w:pPr>
      <w:pStyle w:val="Header"/>
      <w:jc w:val="center"/>
    </w:pPr>
    <w:r>
      <w:rPr>
        <w:noProof/>
        <w:lang w:val="en-US" w:eastAsia="zh-CN"/>
      </w:rPr>
      <w:drawing>
        <wp:anchor distT="0" distB="0" distL="114300" distR="114300" simplePos="0" relativeHeight="251660288" behindDoc="0" locked="0" layoutInCell="1" allowOverlap="1" wp14:anchorId="731A681A" wp14:editId="731A681B">
          <wp:simplePos x="0" y="0"/>
          <wp:positionH relativeFrom="column">
            <wp:posOffset>2522855</wp:posOffset>
          </wp:positionH>
          <wp:positionV relativeFrom="paragraph">
            <wp:posOffset>-405130</wp:posOffset>
          </wp:positionV>
          <wp:extent cx="852805" cy="831215"/>
          <wp:effectExtent l="0" t="0" r="0" b="0"/>
          <wp:wrapSquare wrapText="bothSides"/>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731A6813" w14:textId="77777777" w:rsidR="002F439C" w:rsidRDefault="002F439C">
    <w:pPr>
      <w:pStyle w:val="Header"/>
      <w:jc w:val="center"/>
    </w:pPr>
  </w:p>
  <w:p w14:paraId="731A6814" w14:textId="77777777" w:rsidR="002F439C" w:rsidRDefault="002F439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058"/>
    <w:multiLevelType w:val="multilevel"/>
    <w:tmpl w:val="017D5058"/>
    <w:lvl w:ilvl="0">
      <w:start w:val="1"/>
      <w:numFmt w:val="bullet"/>
      <w:lvlText w:val=""/>
      <w:lvlJc w:val="left"/>
      <w:pPr>
        <w:ind w:left="810" w:hanging="420"/>
      </w:pPr>
      <w:rPr>
        <w:rFonts w:ascii="Symbol" w:hAnsi="Symbol" w:hint="default"/>
      </w:rPr>
    </w:lvl>
    <w:lvl w:ilvl="1">
      <w:start w:val="1"/>
      <w:numFmt w:val="bullet"/>
      <w:lvlText w:val=""/>
      <w:lvlJc w:val="left"/>
      <w:pPr>
        <w:ind w:left="1230" w:hanging="420"/>
      </w:pPr>
      <w:rPr>
        <w:rFonts w:ascii="Wingdings" w:hAnsi="Wingdings" w:hint="default"/>
      </w:rPr>
    </w:lvl>
    <w:lvl w:ilvl="2">
      <w:start w:val="1"/>
      <w:numFmt w:val="bullet"/>
      <w:lvlText w:val=""/>
      <w:lvlJc w:val="left"/>
      <w:pPr>
        <w:ind w:left="1650" w:hanging="420"/>
      </w:pPr>
      <w:rPr>
        <w:rFonts w:ascii="Wingdings" w:hAnsi="Wingdings" w:hint="default"/>
      </w:rPr>
    </w:lvl>
    <w:lvl w:ilvl="3">
      <w:start w:val="1"/>
      <w:numFmt w:val="bullet"/>
      <w:lvlText w:val=""/>
      <w:lvlJc w:val="left"/>
      <w:pPr>
        <w:ind w:left="2070" w:hanging="420"/>
      </w:pPr>
      <w:rPr>
        <w:rFonts w:ascii="Wingdings" w:hAnsi="Wingdings" w:hint="default"/>
      </w:rPr>
    </w:lvl>
    <w:lvl w:ilvl="4">
      <w:start w:val="1"/>
      <w:numFmt w:val="bullet"/>
      <w:lvlText w:val=""/>
      <w:lvlJc w:val="left"/>
      <w:pPr>
        <w:ind w:left="2490" w:hanging="420"/>
      </w:pPr>
      <w:rPr>
        <w:rFonts w:ascii="Wingdings" w:hAnsi="Wingdings" w:hint="default"/>
      </w:rPr>
    </w:lvl>
    <w:lvl w:ilvl="5">
      <w:start w:val="1"/>
      <w:numFmt w:val="bullet"/>
      <w:lvlText w:val=""/>
      <w:lvlJc w:val="left"/>
      <w:pPr>
        <w:ind w:left="2910" w:hanging="420"/>
      </w:pPr>
      <w:rPr>
        <w:rFonts w:ascii="Wingdings" w:hAnsi="Wingdings" w:hint="default"/>
      </w:rPr>
    </w:lvl>
    <w:lvl w:ilvl="6">
      <w:start w:val="1"/>
      <w:numFmt w:val="bullet"/>
      <w:lvlText w:val=""/>
      <w:lvlJc w:val="left"/>
      <w:pPr>
        <w:ind w:left="3330" w:hanging="420"/>
      </w:pPr>
      <w:rPr>
        <w:rFonts w:ascii="Wingdings" w:hAnsi="Wingdings" w:hint="default"/>
      </w:rPr>
    </w:lvl>
    <w:lvl w:ilvl="7">
      <w:start w:val="1"/>
      <w:numFmt w:val="bullet"/>
      <w:lvlText w:val=""/>
      <w:lvlJc w:val="left"/>
      <w:pPr>
        <w:ind w:left="3750" w:hanging="420"/>
      </w:pPr>
      <w:rPr>
        <w:rFonts w:ascii="Wingdings" w:hAnsi="Wingdings" w:hint="default"/>
      </w:rPr>
    </w:lvl>
    <w:lvl w:ilvl="8">
      <w:start w:val="1"/>
      <w:numFmt w:val="bullet"/>
      <w:lvlText w:val=""/>
      <w:lvlJc w:val="left"/>
      <w:pPr>
        <w:ind w:left="4170" w:hanging="420"/>
      </w:pPr>
      <w:rPr>
        <w:rFonts w:ascii="Wingdings" w:hAnsi="Wingdings" w:hint="default"/>
      </w:rPr>
    </w:lvl>
  </w:abstractNum>
  <w:abstractNum w:abstractNumId="1"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47458F"/>
    <w:multiLevelType w:val="multilevel"/>
    <w:tmpl w:val="17474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ascii="Calibri" w:hAnsi="Calibri" w:cs="Calibri" w:hint="default"/>
        <w:sz w:val="24"/>
        <w:szCs w:val="24"/>
      </w:rPr>
    </w:lvl>
    <w:lvl w:ilvl="2">
      <w:start w:val="1"/>
      <w:numFmt w:val="decimal"/>
      <w:pStyle w:val="Heading3"/>
      <w:lvlText w:val="%1.%2.%3"/>
      <w:lvlJc w:val="left"/>
      <w:pPr>
        <w:tabs>
          <w:tab w:val="left" w:pos="1985"/>
        </w:tabs>
        <w:ind w:left="1985"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9D5427E"/>
    <w:multiLevelType w:val="multilevel"/>
    <w:tmpl w:val="19D542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9"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3"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7"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361080758">
    <w:abstractNumId w:val="4"/>
  </w:num>
  <w:num w:numId="2" w16cid:durableId="79764054">
    <w:abstractNumId w:val="9"/>
  </w:num>
  <w:num w:numId="3" w16cid:durableId="564797157">
    <w:abstractNumId w:val="15"/>
  </w:num>
  <w:num w:numId="4" w16cid:durableId="462891734">
    <w:abstractNumId w:val="11"/>
  </w:num>
  <w:num w:numId="5" w16cid:durableId="1892646361">
    <w:abstractNumId w:val="2"/>
  </w:num>
  <w:num w:numId="6" w16cid:durableId="1619406372">
    <w:abstractNumId w:val="17"/>
  </w:num>
  <w:num w:numId="7" w16cid:durableId="1419523103">
    <w:abstractNumId w:val="13"/>
  </w:num>
  <w:num w:numId="8" w16cid:durableId="1259217872">
    <w:abstractNumId w:val="12"/>
  </w:num>
  <w:num w:numId="9" w16cid:durableId="1988392900">
    <w:abstractNumId w:val="10"/>
  </w:num>
  <w:num w:numId="10" w16cid:durableId="1694574077">
    <w:abstractNumId w:val="16"/>
  </w:num>
  <w:num w:numId="11" w16cid:durableId="1401322889">
    <w:abstractNumId w:val="14"/>
  </w:num>
  <w:num w:numId="12" w16cid:durableId="1992440062">
    <w:abstractNumId w:val="6"/>
  </w:num>
  <w:num w:numId="13" w16cid:durableId="1199005507">
    <w:abstractNumId w:val="7"/>
  </w:num>
  <w:num w:numId="14" w16cid:durableId="1100837126">
    <w:abstractNumId w:val="8"/>
  </w:num>
  <w:num w:numId="15" w16cid:durableId="953942509">
    <w:abstractNumId w:val="1"/>
  </w:num>
  <w:num w:numId="16" w16cid:durableId="236672454">
    <w:abstractNumId w:val="5"/>
  </w:num>
  <w:num w:numId="17" w16cid:durableId="1122112650">
    <w:abstractNumId w:val="3"/>
  </w:num>
  <w:num w:numId="18" w16cid:durableId="159202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19"/>
  <w:hyphenationZone w:val="425"/>
  <w:drawingGridHorizontalSpacing w:val="1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RmNDRiOWIwMDM2ZTM3YWIxM2FjMWI1M2YyMzIwZDUifQ=="/>
  </w:docVars>
  <w:rsids>
    <w:rsidRoot w:val="00FE5674"/>
    <w:rsid w:val="000005D3"/>
    <w:rsid w:val="000010B0"/>
    <w:rsid w:val="000017D3"/>
    <w:rsid w:val="000042F1"/>
    <w:rsid w:val="000049D8"/>
    <w:rsid w:val="00004ABF"/>
    <w:rsid w:val="00007616"/>
    <w:rsid w:val="0001070A"/>
    <w:rsid w:val="000114EF"/>
    <w:rsid w:val="00017FF6"/>
    <w:rsid w:val="00022061"/>
    <w:rsid w:val="00022258"/>
    <w:rsid w:val="00025C68"/>
    <w:rsid w:val="00031229"/>
    <w:rsid w:val="000338FF"/>
    <w:rsid w:val="00036390"/>
    <w:rsid w:val="00036A03"/>
    <w:rsid w:val="00036B9E"/>
    <w:rsid w:val="00037DF4"/>
    <w:rsid w:val="0004700E"/>
    <w:rsid w:val="000612A2"/>
    <w:rsid w:val="00070BBD"/>
    <w:rsid w:val="00070C13"/>
    <w:rsid w:val="000715C9"/>
    <w:rsid w:val="00077561"/>
    <w:rsid w:val="00084030"/>
    <w:rsid w:val="00084F33"/>
    <w:rsid w:val="000A2309"/>
    <w:rsid w:val="000A2FFA"/>
    <w:rsid w:val="000A5ACC"/>
    <w:rsid w:val="000A77A7"/>
    <w:rsid w:val="000B0B0F"/>
    <w:rsid w:val="000B1707"/>
    <w:rsid w:val="000B278C"/>
    <w:rsid w:val="000B7814"/>
    <w:rsid w:val="000C056A"/>
    <w:rsid w:val="000C1B3E"/>
    <w:rsid w:val="000C1BC1"/>
    <w:rsid w:val="000C349E"/>
    <w:rsid w:val="000C6053"/>
    <w:rsid w:val="000D02B5"/>
    <w:rsid w:val="000D097D"/>
    <w:rsid w:val="000D18B5"/>
    <w:rsid w:val="000D33F5"/>
    <w:rsid w:val="000D44F1"/>
    <w:rsid w:val="000D6612"/>
    <w:rsid w:val="000E3444"/>
    <w:rsid w:val="000E7A89"/>
    <w:rsid w:val="000F2584"/>
    <w:rsid w:val="000F4E45"/>
    <w:rsid w:val="000F5306"/>
    <w:rsid w:val="000F72BA"/>
    <w:rsid w:val="000F7F1F"/>
    <w:rsid w:val="001023CE"/>
    <w:rsid w:val="001056F0"/>
    <w:rsid w:val="00110AE7"/>
    <w:rsid w:val="00110C3F"/>
    <w:rsid w:val="001115F3"/>
    <w:rsid w:val="00120E7C"/>
    <w:rsid w:val="001217C5"/>
    <w:rsid w:val="00122A1F"/>
    <w:rsid w:val="0012470B"/>
    <w:rsid w:val="00127E4C"/>
    <w:rsid w:val="00134918"/>
    <w:rsid w:val="00135BA1"/>
    <w:rsid w:val="0013797E"/>
    <w:rsid w:val="001402DF"/>
    <w:rsid w:val="001410A3"/>
    <w:rsid w:val="001452CA"/>
    <w:rsid w:val="00146362"/>
    <w:rsid w:val="00146E5F"/>
    <w:rsid w:val="00147F5B"/>
    <w:rsid w:val="00153C99"/>
    <w:rsid w:val="001544CA"/>
    <w:rsid w:val="00167120"/>
    <w:rsid w:val="001706A1"/>
    <w:rsid w:val="00173AAB"/>
    <w:rsid w:val="001748D0"/>
    <w:rsid w:val="00175DC4"/>
    <w:rsid w:val="00177F4D"/>
    <w:rsid w:val="00180DDA"/>
    <w:rsid w:val="001818F3"/>
    <w:rsid w:val="0018209D"/>
    <w:rsid w:val="001838DB"/>
    <w:rsid w:val="00184C8C"/>
    <w:rsid w:val="00185323"/>
    <w:rsid w:val="0019207C"/>
    <w:rsid w:val="00195F4D"/>
    <w:rsid w:val="00196EC2"/>
    <w:rsid w:val="00197667"/>
    <w:rsid w:val="00197711"/>
    <w:rsid w:val="001A116F"/>
    <w:rsid w:val="001A5F96"/>
    <w:rsid w:val="001B232B"/>
    <w:rsid w:val="001B2A2D"/>
    <w:rsid w:val="001B4D32"/>
    <w:rsid w:val="001B5144"/>
    <w:rsid w:val="001B737D"/>
    <w:rsid w:val="001C2B01"/>
    <w:rsid w:val="001C44A3"/>
    <w:rsid w:val="001C4862"/>
    <w:rsid w:val="001D47DF"/>
    <w:rsid w:val="001D480A"/>
    <w:rsid w:val="001D497E"/>
    <w:rsid w:val="001E0E15"/>
    <w:rsid w:val="001E2A38"/>
    <w:rsid w:val="001E6B0D"/>
    <w:rsid w:val="001F1553"/>
    <w:rsid w:val="001F528A"/>
    <w:rsid w:val="001F704E"/>
    <w:rsid w:val="00200241"/>
    <w:rsid w:val="00201722"/>
    <w:rsid w:val="00202249"/>
    <w:rsid w:val="00202575"/>
    <w:rsid w:val="002054A3"/>
    <w:rsid w:val="002061AD"/>
    <w:rsid w:val="002125B0"/>
    <w:rsid w:val="00215BC5"/>
    <w:rsid w:val="002242D2"/>
    <w:rsid w:val="002269A1"/>
    <w:rsid w:val="00230D88"/>
    <w:rsid w:val="0023185D"/>
    <w:rsid w:val="00234FBB"/>
    <w:rsid w:val="00235B11"/>
    <w:rsid w:val="00236EC7"/>
    <w:rsid w:val="002371D8"/>
    <w:rsid w:val="0024254A"/>
    <w:rsid w:val="00242BD0"/>
    <w:rsid w:val="00243228"/>
    <w:rsid w:val="0024484D"/>
    <w:rsid w:val="00244B32"/>
    <w:rsid w:val="00247C5E"/>
    <w:rsid w:val="0025080F"/>
    <w:rsid w:val="00251483"/>
    <w:rsid w:val="00251FA5"/>
    <w:rsid w:val="00255CAA"/>
    <w:rsid w:val="002641F8"/>
    <w:rsid w:val="00264305"/>
    <w:rsid w:val="00276970"/>
    <w:rsid w:val="0028582F"/>
    <w:rsid w:val="00286346"/>
    <w:rsid w:val="00292C02"/>
    <w:rsid w:val="0029706B"/>
    <w:rsid w:val="002A0346"/>
    <w:rsid w:val="002A1C83"/>
    <w:rsid w:val="002A4487"/>
    <w:rsid w:val="002A7C55"/>
    <w:rsid w:val="002B0399"/>
    <w:rsid w:val="002B49E9"/>
    <w:rsid w:val="002B55FE"/>
    <w:rsid w:val="002B7D1B"/>
    <w:rsid w:val="002C3119"/>
    <w:rsid w:val="002C632E"/>
    <w:rsid w:val="002C71F9"/>
    <w:rsid w:val="002D3E8B"/>
    <w:rsid w:val="002D4575"/>
    <w:rsid w:val="002D48DC"/>
    <w:rsid w:val="002D5C0C"/>
    <w:rsid w:val="002E03D1"/>
    <w:rsid w:val="002E265B"/>
    <w:rsid w:val="002E6B74"/>
    <w:rsid w:val="002E6FCA"/>
    <w:rsid w:val="002F1F41"/>
    <w:rsid w:val="002F2074"/>
    <w:rsid w:val="002F3005"/>
    <w:rsid w:val="002F439C"/>
    <w:rsid w:val="002F5C40"/>
    <w:rsid w:val="002F65CF"/>
    <w:rsid w:val="00302B08"/>
    <w:rsid w:val="00303058"/>
    <w:rsid w:val="003039D6"/>
    <w:rsid w:val="00310B1D"/>
    <w:rsid w:val="00322497"/>
    <w:rsid w:val="00330BF0"/>
    <w:rsid w:val="0033118F"/>
    <w:rsid w:val="0033511F"/>
    <w:rsid w:val="00340193"/>
    <w:rsid w:val="00340841"/>
    <w:rsid w:val="00353BD7"/>
    <w:rsid w:val="00356CD0"/>
    <w:rsid w:val="0036162A"/>
    <w:rsid w:val="00362CD9"/>
    <w:rsid w:val="0036677F"/>
    <w:rsid w:val="00366824"/>
    <w:rsid w:val="003703A8"/>
    <w:rsid w:val="00370F3E"/>
    <w:rsid w:val="0037131B"/>
    <w:rsid w:val="00371DBE"/>
    <w:rsid w:val="003754EE"/>
    <w:rsid w:val="003761CA"/>
    <w:rsid w:val="00380757"/>
    <w:rsid w:val="00380DAF"/>
    <w:rsid w:val="00380F2F"/>
    <w:rsid w:val="003858F1"/>
    <w:rsid w:val="003922A2"/>
    <w:rsid w:val="00394B54"/>
    <w:rsid w:val="003972CE"/>
    <w:rsid w:val="003A2B36"/>
    <w:rsid w:val="003A6DFB"/>
    <w:rsid w:val="003B0384"/>
    <w:rsid w:val="003B28F5"/>
    <w:rsid w:val="003B2D55"/>
    <w:rsid w:val="003B6D96"/>
    <w:rsid w:val="003B75A2"/>
    <w:rsid w:val="003B7951"/>
    <w:rsid w:val="003B7B7D"/>
    <w:rsid w:val="003C0C8B"/>
    <w:rsid w:val="003C28E6"/>
    <w:rsid w:val="003C2A77"/>
    <w:rsid w:val="003C3024"/>
    <w:rsid w:val="003C4EE2"/>
    <w:rsid w:val="003C54CB"/>
    <w:rsid w:val="003C7A2A"/>
    <w:rsid w:val="003C7C40"/>
    <w:rsid w:val="003C7D23"/>
    <w:rsid w:val="003D0349"/>
    <w:rsid w:val="003D2DC1"/>
    <w:rsid w:val="003D69D0"/>
    <w:rsid w:val="003F08AA"/>
    <w:rsid w:val="003F2918"/>
    <w:rsid w:val="003F3B90"/>
    <w:rsid w:val="003F430E"/>
    <w:rsid w:val="003F53F5"/>
    <w:rsid w:val="00402410"/>
    <w:rsid w:val="00404FFF"/>
    <w:rsid w:val="004068A0"/>
    <w:rsid w:val="00410637"/>
    <w:rsid w:val="0041088C"/>
    <w:rsid w:val="004119BD"/>
    <w:rsid w:val="00412DD0"/>
    <w:rsid w:val="0041482C"/>
    <w:rsid w:val="00420A38"/>
    <w:rsid w:val="004305A1"/>
    <w:rsid w:val="00431B19"/>
    <w:rsid w:val="00432203"/>
    <w:rsid w:val="004373CC"/>
    <w:rsid w:val="0044314F"/>
    <w:rsid w:val="00447E6F"/>
    <w:rsid w:val="004513DF"/>
    <w:rsid w:val="00451E06"/>
    <w:rsid w:val="00453DC9"/>
    <w:rsid w:val="00454D35"/>
    <w:rsid w:val="00465581"/>
    <w:rsid w:val="004661AD"/>
    <w:rsid w:val="00472DD2"/>
    <w:rsid w:val="00475E97"/>
    <w:rsid w:val="00476D19"/>
    <w:rsid w:val="00486AB7"/>
    <w:rsid w:val="00491E0D"/>
    <w:rsid w:val="004967E6"/>
    <w:rsid w:val="004A2BF5"/>
    <w:rsid w:val="004A6C1D"/>
    <w:rsid w:val="004A7C49"/>
    <w:rsid w:val="004B14E9"/>
    <w:rsid w:val="004C160A"/>
    <w:rsid w:val="004C3794"/>
    <w:rsid w:val="004C3B79"/>
    <w:rsid w:val="004C6BD3"/>
    <w:rsid w:val="004C7384"/>
    <w:rsid w:val="004D1D85"/>
    <w:rsid w:val="004D3C3A"/>
    <w:rsid w:val="004D3CD8"/>
    <w:rsid w:val="004D4C88"/>
    <w:rsid w:val="004E1CD1"/>
    <w:rsid w:val="004E7D33"/>
    <w:rsid w:val="004E7FED"/>
    <w:rsid w:val="004F15A6"/>
    <w:rsid w:val="004F36F8"/>
    <w:rsid w:val="004F55A1"/>
    <w:rsid w:val="004F7EFC"/>
    <w:rsid w:val="005053B5"/>
    <w:rsid w:val="005107EB"/>
    <w:rsid w:val="00521345"/>
    <w:rsid w:val="00521B20"/>
    <w:rsid w:val="00526DF0"/>
    <w:rsid w:val="00543798"/>
    <w:rsid w:val="00545CC4"/>
    <w:rsid w:val="00546FC2"/>
    <w:rsid w:val="00551FFF"/>
    <w:rsid w:val="0055688B"/>
    <w:rsid w:val="005607A2"/>
    <w:rsid w:val="005616F7"/>
    <w:rsid w:val="00567097"/>
    <w:rsid w:val="00570215"/>
    <w:rsid w:val="00570235"/>
    <w:rsid w:val="0057198B"/>
    <w:rsid w:val="00573CFE"/>
    <w:rsid w:val="00580CF3"/>
    <w:rsid w:val="00584E23"/>
    <w:rsid w:val="00590E05"/>
    <w:rsid w:val="005969F2"/>
    <w:rsid w:val="00597995"/>
    <w:rsid w:val="00597FAE"/>
    <w:rsid w:val="005A361B"/>
    <w:rsid w:val="005A66DF"/>
    <w:rsid w:val="005B2B91"/>
    <w:rsid w:val="005B32A3"/>
    <w:rsid w:val="005B4762"/>
    <w:rsid w:val="005B4F43"/>
    <w:rsid w:val="005B54E9"/>
    <w:rsid w:val="005B580B"/>
    <w:rsid w:val="005C02A1"/>
    <w:rsid w:val="005C0D44"/>
    <w:rsid w:val="005C1225"/>
    <w:rsid w:val="005C3662"/>
    <w:rsid w:val="005C3D2D"/>
    <w:rsid w:val="005C566C"/>
    <w:rsid w:val="005C755A"/>
    <w:rsid w:val="005C7E69"/>
    <w:rsid w:val="005D1356"/>
    <w:rsid w:val="005D2FF9"/>
    <w:rsid w:val="005D6F3B"/>
    <w:rsid w:val="005D7034"/>
    <w:rsid w:val="005E262D"/>
    <w:rsid w:val="005F0CC1"/>
    <w:rsid w:val="005F23D3"/>
    <w:rsid w:val="005F55D6"/>
    <w:rsid w:val="005F7E20"/>
    <w:rsid w:val="00601641"/>
    <w:rsid w:val="00605E43"/>
    <w:rsid w:val="006153BB"/>
    <w:rsid w:val="00624475"/>
    <w:rsid w:val="006306F8"/>
    <w:rsid w:val="006312EA"/>
    <w:rsid w:val="00634D73"/>
    <w:rsid w:val="006373B6"/>
    <w:rsid w:val="00640417"/>
    <w:rsid w:val="00645FE8"/>
    <w:rsid w:val="00653B09"/>
    <w:rsid w:val="00654C62"/>
    <w:rsid w:val="006652C3"/>
    <w:rsid w:val="00670ADA"/>
    <w:rsid w:val="00685DB6"/>
    <w:rsid w:val="00691FD0"/>
    <w:rsid w:val="00692148"/>
    <w:rsid w:val="00694ADF"/>
    <w:rsid w:val="00697BF8"/>
    <w:rsid w:val="006A1626"/>
    <w:rsid w:val="006A1A1E"/>
    <w:rsid w:val="006A3F48"/>
    <w:rsid w:val="006B18CE"/>
    <w:rsid w:val="006B1D23"/>
    <w:rsid w:val="006B3327"/>
    <w:rsid w:val="006B68E8"/>
    <w:rsid w:val="006B76D8"/>
    <w:rsid w:val="006C5948"/>
    <w:rsid w:val="006C798B"/>
    <w:rsid w:val="006D03B9"/>
    <w:rsid w:val="006D1063"/>
    <w:rsid w:val="006D26B4"/>
    <w:rsid w:val="006E6EC6"/>
    <w:rsid w:val="006E7656"/>
    <w:rsid w:val="006F1227"/>
    <w:rsid w:val="006F2029"/>
    <w:rsid w:val="006F2A74"/>
    <w:rsid w:val="006F3FA2"/>
    <w:rsid w:val="006F4E0C"/>
    <w:rsid w:val="006F784D"/>
    <w:rsid w:val="007000D4"/>
    <w:rsid w:val="00707450"/>
    <w:rsid w:val="00710B25"/>
    <w:rsid w:val="007118F5"/>
    <w:rsid w:val="00712AA4"/>
    <w:rsid w:val="007146C4"/>
    <w:rsid w:val="00717593"/>
    <w:rsid w:val="00721AA1"/>
    <w:rsid w:val="00724B67"/>
    <w:rsid w:val="00730ACD"/>
    <w:rsid w:val="00742A2B"/>
    <w:rsid w:val="007547F8"/>
    <w:rsid w:val="007613F5"/>
    <w:rsid w:val="007637CA"/>
    <w:rsid w:val="00765622"/>
    <w:rsid w:val="007667A0"/>
    <w:rsid w:val="00770B6C"/>
    <w:rsid w:val="007711F4"/>
    <w:rsid w:val="00773C5C"/>
    <w:rsid w:val="00780DA5"/>
    <w:rsid w:val="007810B7"/>
    <w:rsid w:val="00783FEA"/>
    <w:rsid w:val="0079734D"/>
    <w:rsid w:val="007A0AEA"/>
    <w:rsid w:val="007A395D"/>
    <w:rsid w:val="007A4EA8"/>
    <w:rsid w:val="007B066F"/>
    <w:rsid w:val="007B10E9"/>
    <w:rsid w:val="007B3CE2"/>
    <w:rsid w:val="007B6BD5"/>
    <w:rsid w:val="007B6D4A"/>
    <w:rsid w:val="007C346C"/>
    <w:rsid w:val="007D035D"/>
    <w:rsid w:val="007D0709"/>
    <w:rsid w:val="007D1198"/>
    <w:rsid w:val="007D21E4"/>
    <w:rsid w:val="007D78ED"/>
    <w:rsid w:val="007E2253"/>
    <w:rsid w:val="007E5A5E"/>
    <w:rsid w:val="007E6479"/>
    <w:rsid w:val="007F15F8"/>
    <w:rsid w:val="007F31E9"/>
    <w:rsid w:val="007F48AD"/>
    <w:rsid w:val="007F63F6"/>
    <w:rsid w:val="007F6A5F"/>
    <w:rsid w:val="00801B29"/>
    <w:rsid w:val="0080294B"/>
    <w:rsid w:val="0080509E"/>
    <w:rsid w:val="00806F19"/>
    <w:rsid w:val="008105C1"/>
    <w:rsid w:val="00811EDB"/>
    <w:rsid w:val="00813990"/>
    <w:rsid w:val="00815340"/>
    <w:rsid w:val="00822BC1"/>
    <w:rsid w:val="00823E18"/>
    <w:rsid w:val="0082480E"/>
    <w:rsid w:val="00832622"/>
    <w:rsid w:val="00832B2B"/>
    <w:rsid w:val="00845A56"/>
    <w:rsid w:val="00850293"/>
    <w:rsid w:val="00851373"/>
    <w:rsid w:val="008518A2"/>
    <w:rsid w:val="00851BA6"/>
    <w:rsid w:val="00852E87"/>
    <w:rsid w:val="00853263"/>
    <w:rsid w:val="0085654D"/>
    <w:rsid w:val="00861160"/>
    <w:rsid w:val="0086654F"/>
    <w:rsid w:val="008669A8"/>
    <w:rsid w:val="00870E6F"/>
    <w:rsid w:val="00873C88"/>
    <w:rsid w:val="0088115E"/>
    <w:rsid w:val="00885F1D"/>
    <w:rsid w:val="00886846"/>
    <w:rsid w:val="008936B6"/>
    <w:rsid w:val="008A2603"/>
    <w:rsid w:val="008A356F"/>
    <w:rsid w:val="008A4653"/>
    <w:rsid w:val="008A4717"/>
    <w:rsid w:val="008A50CC"/>
    <w:rsid w:val="008A6D99"/>
    <w:rsid w:val="008A7A8E"/>
    <w:rsid w:val="008A7E60"/>
    <w:rsid w:val="008B0E55"/>
    <w:rsid w:val="008B1EBD"/>
    <w:rsid w:val="008B3040"/>
    <w:rsid w:val="008B31D2"/>
    <w:rsid w:val="008B6101"/>
    <w:rsid w:val="008C13F1"/>
    <w:rsid w:val="008C2899"/>
    <w:rsid w:val="008C2CD7"/>
    <w:rsid w:val="008C2D88"/>
    <w:rsid w:val="008C51F1"/>
    <w:rsid w:val="008C7C54"/>
    <w:rsid w:val="008D1694"/>
    <w:rsid w:val="008D274A"/>
    <w:rsid w:val="008D73A5"/>
    <w:rsid w:val="008D79CB"/>
    <w:rsid w:val="008E47A3"/>
    <w:rsid w:val="008F07BC"/>
    <w:rsid w:val="008F0935"/>
    <w:rsid w:val="00900208"/>
    <w:rsid w:val="0090047C"/>
    <w:rsid w:val="00904F3F"/>
    <w:rsid w:val="00923C99"/>
    <w:rsid w:val="0092692B"/>
    <w:rsid w:val="00930561"/>
    <w:rsid w:val="009317E5"/>
    <w:rsid w:val="0093452B"/>
    <w:rsid w:val="009372FA"/>
    <w:rsid w:val="00943E9C"/>
    <w:rsid w:val="00946B1A"/>
    <w:rsid w:val="00953F4D"/>
    <w:rsid w:val="009555A9"/>
    <w:rsid w:val="00955871"/>
    <w:rsid w:val="0095705C"/>
    <w:rsid w:val="00960BB8"/>
    <w:rsid w:val="00961C71"/>
    <w:rsid w:val="00964F5C"/>
    <w:rsid w:val="009709DA"/>
    <w:rsid w:val="00973B57"/>
    <w:rsid w:val="00975900"/>
    <w:rsid w:val="009831C0"/>
    <w:rsid w:val="00983CA2"/>
    <w:rsid w:val="0098503A"/>
    <w:rsid w:val="00986372"/>
    <w:rsid w:val="00987AF4"/>
    <w:rsid w:val="0099161D"/>
    <w:rsid w:val="00993344"/>
    <w:rsid w:val="009957D6"/>
    <w:rsid w:val="009B6176"/>
    <w:rsid w:val="009C0CC7"/>
    <w:rsid w:val="009C2FE6"/>
    <w:rsid w:val="009C4BAE"/>
    <w:rsid w:val="009C5C73"/>
    <w:rsid w:val="009D4B72"/>
    <w:rsid w:val="009E3C39"/>
    <w:rsid w:val="009E52F0"/>
    <w:rsid w:val="009E71ED"/>
    <w:rsid w:val="009F2817"/>
    <w:rsid w:val="00A00BFD"/>
    <w:rsid w:val="00A0389B"/>
    <w:rsid w:val="00A1068C"/>
    <w:rsid w:val="00A2294B"/>
    <w:rsid w:val="00A23DD2"/>
    <w:rsid w:val="00A24D66"/>
    <w:rsid w:val="00A24F09"/>
    <w:rsid w:val="00A250D9"/>
    <w:rsid w:val="00A26A32"/>
    <w:rsid w:val="00A27C48"/>
    <w:rsid w:val="00A27D22"/>
    <w:rsid w:val="00A33A3C"/>
    <w:rsid w:val="00A366B6"/>
    <w:rsid w:val="00A446C9"/>
    <w:rsid w:val="00A527A3"/>
    <w:rsid w:val="00A53AFE"/>
    <w:rsid w:val="00A62E4C"/>
    <w:rsid w:val="00A635D6"/>
    <w:rsid w:val="00A64717"/>
    <w:rsid w:val="00A73C67"/>
    <w:rsid w:val="00A775C0"/>
    <w:rsid w:val="00A80A4B"/>
    <w:rsid w:val="00A82215"/>
    <w:rsid w:val="00A8553A"/>
    <w:rsid w:val="00A86B0D"/>
    <w:rsid w:val="00A91597"/>
    <w:rsid w:val="00A918DF"/>
    <w:rsid w:val="00A93AED"/>
    <w:rsid w:val="00A95148"/>
    <w:rsid w:val="00A9576D"/>
    <w:rsid w:val="00A95B79"/>
    <w:rsid w:val="00AA3372"/>
    <w:rsid w:val="00AA6490"/>
    <w:rsid w:val="00AA658A"/>
    <w:rsid w:val="00AB5283"/>
    <w:rsid w:val="00AB5D3D"/>
    <w:rsid w:val="00AB6278"/>
    <w:rsid w:val="00AB6FBD"/>
    <w:rsid w:val="00AC031A"/>
    <w:rsid w:val="00AC1042"/>
    <w:rsid w:val="00AC2118"/>
    <w:rsid w:val="00AD36CA"/>
    <w:rsid w:val="00AD6ADD"/>
    <w:rsid w:val="00AD7D2C"/>
    <w:rsid w:val="00AE1319"/>
    <w:rsid w:val="00AE34BB"/>
    <w:rsid w:val="00AE4F81"/>
    <w:rsid w:val="00AF222B"/>
    <w:rsid w:val="00AF2B90"/>
    <w:rsid w:val="00AF6D48"/>
    <w:rsid w:val="00B06A02"/>
    <w:rsid w:val="00B07163"/>
    <w:rsid w:val="00B21C41"/>
    <w:rsid w:val="00B2210E"/>
    <w:rsid w:val="00B226F2"/>
    <w:rsid w:val="00B274DF"/>
    <w:rsid w:val="00B314F1"/>
    <w:rsid w:val="00B32A0F"/>
    <w:rsid w:val="00B3717A"/>
    <w:rsid w:val="00B4588F"/>
    <w:rsid w:val="00B45D85"/>
    <w:rsid w:val="00B515D4"/>
    <w:rsid w:val="00B529CD"/>
    <w:rsid w:val="00B55CF3"/>
    <w:rsid w:val="00B56BDF"/>
    <w:rsid w:val="00B628EC"/>
    <w:rsid w:val="00B65812"/>
    <w:rsid w:val="00B67E32"/>
    <w:rsid w:val="00B76196"/>
    <w:rsid w:val="00B76CD7"/>
    <w:rsid w:val="00B83A31"/>
    <w:rsid w:val="00B85CD6"/>
    <w:rsid w:val="00B90A27"/>
    <w:rsid w:val="00B94262"/>
    <w:rsid w:val="00B9554D"/>
    <w:rsid w:val="00BA4820"/>
    <w:rsid w:val="00BB0B0B"/>
    <w:rsid w:val="00BB2854"/>
    <w:rsid w:val="00BB2B9F"/>
    <w:rsid w:val="00BB4D89"/>
    <w:rsid w:val="00BB7D9E"/>
    <w:rsid w:val="00BC07B3"/>
    <w:rsid w:val="00BC2334"/>
    <w:rsid w:val="00BC4551"/>
    <w:rsid w:val="00BD0FD7"/>
    <w:rsid w:val="00BD284C"/>
    <w:rsid w:val="00BD3CB8"/>
    <w:rsid w:val="00BD3FB8"/>
    <w:rsid w:val="00BD410F"/>
    <w:rsid w:val="00BD44A7"/>
    <w:rsid w:val="00BD4E6F"/>
    <w:rsid w:val="00BD7B28"/>
    <w:rsid w:val="00BE3BBD"/>
    <w:rsid w:val="00BE5B41"/>
    <w:rsid w:val="00BE635A"/>
    <w:rsid w:val="00BF32F0"/>
    <w:rsid w:val="00BF3BE5"/>
    <w:rsid w:val="00BF4DCE"/>
    <w:rsid w:val="00BF6B9B"/>
    <w:rsid w:val="00C03E45"/>
    <w:rsid w:val="00C05CE5"/>
    <w:rsid w:val="00C100DC"/>
    <w:rsid w:val="00C10320"/>
    <w:rsid w:val="00C133BE"/>
    <w:rsid w:val="00C163A3"/>
    <w:rsid w:val="00C1684A"/>
    <w:rsid w:val="00C31335"/>
    <w:rsid w:val="00C37216"/>
    <w:rsid w:val="00C3725E"/>
    <w:rsid w:val="00C529C9"/>
    <w:rsid w:val="00C60531"/>
    <w:rsid w:val="00C6057A"/>
    <w:rsid w:val="00C6171E"/>
    <w:rsid w:val="00C65D28"/>
    <w:rsid w:val="00C66B7E"/>
    <w:rsid w:val="00C76071"/>
    <w:rsid w:val="00C81205"/>
    <w:rsid w:val="00C8728C"/>
    <w:rsid w:val="00C91BD8"/>
    <w:rsid w:val="00C94803"/>
    <w:rsid w:val="00CA1192"/>
    <w:rsid w:val="00CA4617"/>
    <w:rsid w:val="00CA6738"/>
    <w:rsid w:val="00CA6F2C"/>
    <w:rsid w:val="00CA7CE2"/>
    <w:rsid w:val="00CB45A9"/>
    <w:rsid w:val="00CB5100"/>
    <w:rsid w:val="00CB6F6C"/>
    <w:rsid w:val="00CC2100"/>
    <w:rsid w:val="00CC5929"/>
    <w:rsid w:val="00CC5A0C"/>
    <w:rsid w:val="00CD4717"/>
    <w:rsid w:val="00CD56F2"/>
    <w:rsid w:val="00CD60C4"/>
    <w:rsid w:val="00CD6A13"/>
    <w:rsid w:val="00CE307A"/>
    <w:rsid w:val="00CE7E77"/>
    <w:rsid w:val="00CF01B9"/>
    <w:rsid w:val="00CF1219"/>
    <w:rsid w:val="00CF1871"/>
    <w:rsid w:val="00CF6324"/>
    <w:rsid w:val="00D01874"/>
    <w:rsid w:val="00D019CE"/>
    <w:rsid w:val="00D07999"/>
    <w:rsid w:val="00D109BB"/>
    <w:rsid w:val="00D10F85"/>
    <w:rsid w:val="00D1133E"/>
    <w:rsid w:val="00D119FA"/>
    <w:rsid w:val="00D1207D"/>
    <w:rsid w:val="00D1503E"/>
    <w:rsid w:val="00D17A34"/>
    <w:rsid w:val="00D20E7B"/>
    <w:rsid w:val="00D2287E"/>
    <w:rsid w:val="00D26628"/>
    <w:rsid w:val="00D2706F"/>
    <w:rsid w:val="00D332B3"/>
    <w:rsid w:val="00D34783"/>
    <w:rsid w:val="00D50E6B"/>
    <w:rsid w:val="00D5336D"/>
    <w:rsid w:val="00D53FF0"/>
    <w:rsid w:val="00D55207"/>
    <w:rsid w:val="00D61040"/>
    <w:rsid w:val="00D7355E"/>
    <w:rsid w:val="00D75724"/>
    <w:rsid w:val="00D81801"/>
    <w:rsid w:val="00D92B45"/>
    <w:rsid w:val="00D9573A"/>
    <w:rsid w:val="00D95962"/>
    <w:rsid w:val="00D97B04"/>
    <w:rsid w:val="00DA09A9"/>
    <w:rsid w:val="00DA0FE6"/>
    <w:rsid w:val="00DA2F45"/>
    <w:rsid w:val="00DB22DA"/>
    <w:rsid w:val="00DB2B99"/>
    <w:rsid w:val="00DB2BC2"/>
    <w:rsid w:val="00DC18D1"/>
    <w:rsid w:val="00DC2E31"/>
    <w:rsid w:val="00DC389B"/>
    <w:rsid w:val="00DC664E"/>
    <w:rsid w:val="00DD160E"/>
    <w:rsid w:val="00DD302D"/>
    <w:rsid w:val="00DD60A9"/>
    <w:rsid w:val="00DE0153"/>
    <w:rsid w:val="00DE2FEE"/>
    <w:rsid w:val="00DE7019"/>
    <w:rsid w:val="00DF02CB"/>
    <w:rsid w:val="00DF1467"/>
    <w:rsid w:val="00DF296D"/>
    <w:rsid w:val="00DF3CF2"/>
    <w:rsid w:val="00DF473C"/>
    <w:rsid w:val="00DF56A1"/>
    <w:rsid w:val="00E00BE9"/>
    <w:rsid w:val="00E076A0"/>
    <w:rsid w:val="00E10C77"/>
    <w:rsid w:val="00E1126F"/>
    <w:rsid w:val="00E22A11"/>
    <w:rsid w:val="00E23E2D"/>
    <w:rsid w:val="00E31E5C"/>
    <w:rsid w:val="00E3279E"/>
    <w:rsid w:val="00E44DD2"/>
    <w:rsid w:val="00E46FC3"/>
    <w:rsid w:val="00E513B6"/>
    <w:rsid w:val="00E558C3"/>
    <w:rsid w:val="00E55927"/>
    <w:rsid w:val="00E60540"/>
    <w:rsid w:val="00E62F1E"/>
    <w:rsid w:val="00E64DAF"/>
    <w:rsid w:val="00E673E0"/>
    <w:rsid w:val="00E71E6F"/>
    <w:rsid w:val="00E74F36"/>
    <w:rsid w:val="00E82BC8"/>
    <w:rsid w:val="00E912A6"/>
    <w:rsid w:val="00EA40F2"/>
    <w:rsid w:val="00EA4844"/>
    <w:rsid w:val="00EA4D37"/>
    <w:rsid w:val="00EA4D9C"/>
    <w:rsid w:val="00EA5A97"/>
    <w:rsid w:val="00EB2248"/>
    <w:rsid w:val="00EB44F5"/>
    <w:rsid w:val="00EB4E50"/>
    <w:rsid w:val="00EB660B"/>
    <w:rsid w:val="00EB710E"/>
    <w:rsid w:val="00EB75EE"/>
    <w:rsid w:val="00EC6BEA"/>
    <w:rsid w:val="00ED1991"/>
    <w:rsid w:val="00ED517D"/>
    <w:rsid w:val="00ED53FB"/>
    <w:rsid w:val="00ED74C6"/>
    <w:rsid w:val="00EE3186"/>
    <w:rsid w:val="00EE3433"/>
    <w:rsid w:val="00EE3CC5"/>
    <w:rsid w:val="00EE4906"/>
    <w:rsid w:val="00EE4C1D"/>
    <w:rsid w:val="00EE73A0"/>
    <w:rsid w:val="00EF3685"/>
    <w:rsid w:val="00EF3BEF"/>
    <w:rsid w:val="00EF5B25"/>
    <w:rsid w:val="00EF64BD"/>
    <w:rsid w:val="00EF66F3"/>
    <w:rsid w:val="00EF7A67"/>
    <w:rsid w:val="00F01A15"/>
    <w:rsid w:val="00F04350"/>
    <w:rsid w:val="00F12539"/>
    <w:rsid w:val="00F133DB"/>
    <w:rsid w:val="00F14F21"/>
    <w:rsid w:val="00F159EB"/>
    <w:rsid w:val="00F1679B"/>
    <w:rsid w:val="00F16969"/>
    <w:rsid w:val="00F206FB"/>
    <w:rsid w:val="00F25BF4"/>
    <w:rsid w:val="00F267DB"/>
    <w:rsid w:val="00F401F3"/>
    <w:rsid w:val="00F4340D"/>
    <w:rsid w:val="00F466A2"/>
    <w:rsid w:val="00F469E5"/>
    <w:rsid w:val="00F46F6F"/>
    <w:rsid w:val="00F60608"/>
    <w:rsid w:val="00F616C2"/>
    <w:rsid w:val="00F62217"/>
    <w:rsid w:val="00F65908"/>
    <w:rsid w:val="00F712B6"/>
    <w:rsid w:val="00F722A3"/>
    <w:rsid w:val="00F81386"/>
    <w:rsid w:val="00F900F4"/>
    <w:rsid w:val="00F93459"/>
    <w:rsid w:val="00FA708D"/>
    <w:rsid w:val="00FA723E"/>
    <w:rsid w:val="00FB0563"/>
    <w:rsid w:val="00FB17A9"/>
    <w:rsid w:val="00FB527C"/>
    <w:rsid w:val="00FB5F85"/>
    <w:rsid w:val="00FB68A8"/>
    <w:rsid w:val="00FB6F75"/>
    <w:rsid w:val="00FC0EB3"/>
    <w:rsid w:val="00FC3432"/>
    <w:rsid w:val="00FC5899"/>
    <w:rsid w:val="00FC5C3C"/>
    <w:rsid w:val="00FD2352"/>
    <w:rsid w:val="00FD2577"/>
    <w:rsid w:val="00FD675E"/>
    <w:rsid w:val="00FE5674"/>
    <w:rsid w:val="00FF7DCB"/>
    <w:rsid w:val="01152750"/>
    <w:rsid w:val="01906D9F"/>
    <w:rsid w:val="03087086"/>
    <w:rsid w:val="0896285B"/>
    <w:rsid w:val="0B316DB7"/>
    <w:rsid w:val="0B60728D"/>
    <w:rsid w:val="0BBE1B65"/>
    <w:rsid w:val="0CA82FB3"/>
    <w:rsid w:val="0E682AF0"/>
    <w:rsid w:val="0F5D19F5"/>
    <w:rsid w:val="10FF64DF"/>
    <w:rsid w:val="122A7C07"/>
    <w:rsid w:val="14771CCD"/>
    <w:rsid w:val="15657126"/>
    <w:rsid w:val="176D0D6A"/>
    <w:rsid w:val="1DC719B3"/>
    <w:rsid w:val="1F5F584A"/>
    <w:rsid w:val="1FB93D7A"/>
    <w:rsid w:val="1FCB56AE"/>
    <w:rsid w:val="20442098"/>
    <w:rsid w:val="22394EBC"/>
    <w:rsid w:val="2361654C"/>
    <w:rsid w:val="26583FFB"/>
    <w:rsid w:val="27AF4E43"/>
    <w:rsid w:val="2A731621"/>
    <w:rsid w:val="2CFF4399"/>
    <w:rsid w:val="2F0C3E0F"/>
    <w:rsid w:val="2F945C9C"/>
    <w:rsid w:val="3446165C"/>
    <w:rsid w:val="34D23487"/>
    <w:rsid w:val="35F7E50E"/>
    <w:rsid w:val="364C188B"/>
    <w:rsid w:val="3B3F65B6"/>
    <w:rsid w:val="3B4958D4"/>
    <w:rsid w:val="3B561DF7"/>
    <w:rsid w:val="3BEF57E0"/>
    <w:rsid w:val="3C1914C5"/>
    <w:rsid w:val="3DCD1FEA"/>
    <w:rsid w:val="3F9F76B4"/>
    <w:rsid w:val="3FFE7419"/>
    <w:rsid w:val="41DE5B39"/>
    <w:rsid w:val="4408494C"/>
    <w:rsid w:val="442C6020"/>
    <w:rsid w:val="45146648"/>
    <w:rsid w:val="460C6AA9"/>
    <w:rsid w:val="462F3507"/>
    <w:rsid w:val="466456A0"/>
    <w:rsid w:val="46AF182F"/>
    <w:rsid w:val="46F60EF7"/>
    <w:rsid w:val="47293A2C"/>
    <w:rsid w:val="47580F9C"/>
    <w:rsid w:val="4C8753F3"/>
    <w:rsid w:val="4D697710"/>
    <w:rsid w:val="4ECC7F56"/>
    <w:rsid w:val="4FBEF557"/>
    <w:rsid w:val="511966E0"/>
    <w:rsid w:val="51F51A40"/>
    <w:rsid w:val="52974044"/>
    <w:rsid w:val="52AF3F43"/>
    <w:rsid w:val="536270DB"/>
    <w:rsid w:val="55AC0AE1"/>
    <w:rsid w:val="55FF2D07"/>
    <w:rsid w:val="574A17AA"/>
    <w:rsid w:val="57E03B97"/>
    <w:rsid w:val="58D561DF"/>
    <w:rsid w:val="59BD37C2"/>
    <w:rsid w:val="5B017884"/>
    <w:rsid w:val="5BE9036E"/>
    <w:rsid w:val="5DC8742A"/>
    <w:rsid w:val="5DF24AD6"/>
    <w:rsid w:val="5EB6DC67"/>
    <w:rsid w:val="5FFF9D46"/>
    <w:rsid w:val="632B1FD4"/>
    <w:rsid w:val="63FF4708"/>
    <w:rsid w:val="663F427D"/>
    <w:rsid w:val="678C6020"/>
    <w:rsid w:val="67AB2EA5"/>
    <w:rsid w:val="681744E0"/>
    <w:rsid w:val="68FF6A95"/>
    <w:rsid w:val="69EA7FC7"/>
    <w:rsid w:val="6A7DF6CD"/>
    <w:rsid w:val="6B170353"/>
    <w:rsid w:val="6BAF3CF5"/>
    <w:rsid w:val="6BBA755F"/>
    <w:rsid w:val="6BBF3626"/>
    <w:rsid w:val="6BE66889"/>
    <w:rsid w:val="6C616CB4"/>
    <w:rsid w:val="6CD760C9"/>
    <w:rsid w:val="6EDE9548"/>
    <w:rsid w:val="6EDF7712"/>
    <w:rsid w:val="6EF74C7C"/>
    <w:rsid w:val="6FB9C89A"/>
    <w:rsid w:val="6FFF364A"/>
    <w:rsid w:val="704C2CC7"/>
    <w:rsid w:val="7192180C"/>
    <w:rsid w:val="72CC25DB"/>
    <w:rsid w:val="72F60EBE"/>
    <w:rsid w:val="73D7BA06"/>
    <w:rsid w:val="75B1C29B"/>
    <w:rsid w:val="75FF1064"/>
    <w:rsid w:val="76F305C3"/>
    <w:rsid w:val="777477D3"/>
    <w:rsid w:val="778FBA41"/>
    <w:rsid w:val="779FA56C"/>
    <w:rsid w:val="77BB8694"/>
    <w:rsid w:val="79BB0357"/>
    <w:rsid w:val="7A7D3123"/>
    <w:rsid w:val="7AFF5B80"/>
    <w:rsid w:val="7AFF9096"/>
    <w:rsid w:val="7C305719"/>
    <w:rsid w:val="7C426AB6"/>
    <w:rsid w:val="7CFF6332"/>
    <w:rsid w:val="7D6B37D4"/>
    <w:rsid w:val="7D9E742E"/>
    <w:rsid w:val="7DEFAE42"/>
    <w:rsid w:val="7DFFE51E"/>
    <w:rsid w:val="7F67C65D"/>
    <w:rsid w:val="7FD973F7"/>
    <w:rsid w:val="7FEF7640"/>
    <w:rsid w:val="7FFD2DE5"/>
    <w:rsid w:val="7FFE81BC"/>
    <w:rsid w:val="7FFF44FD"/>
    <w:rsid w:val="7FFF842C"/>
    <w:rsid w:val="97390B67"/>
    <w:rsid w:val="99F73B37"/>
    <w:rsid w:val="9F8F6897"/>
    <w:rsid w:val="9FD7CD3A"/>
    <w:rsid w:val="AE5B5019"/>
    <w:rsid w:val="AFFEC9B9"/>
    <w:rsid w:val="BB5F2C0B"/>
    <w:rsid w:val="BBCE0974"/>
    <w:rsid w:val="BDBEFA50"/>
    <w:rsid w:val="BEF379E1"/>
    <w:rsid w:val="BF9D89AC"/>
    <w:rsid w:val="BFBBE950"/>
    <w:rsid w:val="BFDF2F2B"/>
    <w:rsid w:val="BFFF0F68"/>
    <w:rsid w:val="CB7ACC0D"/>
    <w:rsid w:val="D7F7CB47"/>
    <w:rsid w:val="D96F3B1F"/>
    <w:rsid w:val="DF32DE00"/>
    <w:rsid w:val="DFFEABB4"/>
    <w:rsid w:val="E67D50B6"/>
    <w:rsid w:val="EAEF9EE1"/>
    <w:rsid w:val="EBDE6A6A"/>
    <w:rsid w:val="EDEB9A76"/>
    <w:rsid w:val="F35DFC33"/>
    <w:rsid w:val="F5EEC6CD"/>
    <w:rsid w:val="F7CC4CA9"/>
    <w:rsid w:val="F7DE98BA"/>
    <w:rsid w:val="F7EDCF91"/>
    <w:rsid w:val="FAE3B658"/>
    <w:rsid w:val="FB7F72AA"/>
    <w:rsid w:val="FDBFCA9B"/>
    <w:rsid w:val="FEFF1CA3"/>
    <w:rsid w:val="FF36C103"/>
    <w:rsid w:val="FF634526"/>
    <w:rsid w:val="FF7B3B8F"/>
    <w:rsid w:val="FF7B8E30"/>
    <w:rsid w:val="FF7F4C98"/>
    <w:rsid w:val="FFAA5EAF"/>
    <w:rsid w:val="FFB6BBC2"/>
    <w:rsid w:val="FFB73D33"/>
    <w:rsid w:val="FFE6486F"/>
    <w:rsid w:val="FFF77B50"/>
    <w:rsid w:val="FFFD4FEA"/>
    <w:rsid w:val="FFFE6596"/>
    <w:rsid w:val="FFFF84AA"/>
    <w:rsid w:val="FFFFB7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1A6766"/>
  <w15:docId w15:val="{80253399-6915-43BF-8C6C-9E87EB5F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next w:val="BodyText"/>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pPr>
      <w:numPr>
        <w:ilvl w:val="1"/>
        <w:numId w:val="1"/>
      </w:numPr>
      <w:tabs>
        <w:tab w:val="left" w:pos="567"/>
      </w:tabs>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pPr>
      <w:keepNext/>
      <w:numPr>
        <w:ilvl w:val="2"/>
        <w:numId w:val="1"/>
      </w:numPr>
      <w:tabs>
        <w:tab w:val="left" w:pos="567"/>
        <w:tab w:val="left" w:pos="992"/>
      </w:tabs>
      <w:spacing w:before="120" w:after="120"/>
      <w:outlineLvl w:val="2"/>
    </w:pPr>
    <w:rPr>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line="216" w:lineRule="atLeast"/>
      <w:jc w:val="both"/>
    </w:pPr>
    <w:rPr>
      <w:rFonts w:ascii="Calibri" w:hAnsi="Calibri" w:cs="Times New Roman"/>
      <w:lang w:val="en-US" w:eastAsia="zh-CN"/>
    </w:r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aption">
    <w:name w:val="caption"/>
    <w:basedOn w:val="Normal"/>
    <w:next w:val="Normal"/>
    <w:unhideWhenUsed/>
    <w:qFormat/>
    <w:pPr>
      <w:jc w:val="center"/>
    </w:pPr>
    <w:rPr>
      <w:b/>
      <w:bCs/>
      <w:color w:val="4F81BD" w:themeColor="accent1"/>
      <w:sz w:val="18"/>
      <w:szCs w:val="18"/>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20"/>
      <w:szCs w:val="20"/>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NormalWeb">
    <w:name w:val="Normal (Web)"/>
    <w:basedOn w:val="Normal"/>
    <w:uiPriority w:val="99"/>
    <w:semiHidden/>
    <w:unhideWhenUsed/>
    <w:qFormat/>
    <w:rPr>
      <w:sz w:val="24"/>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rPr>
      <w:b/>
    </w:r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paragraph" w:customStyle="1" w:styleId="List1">
    <w:name w:val="List 1"/>
    <w:basedOn w:val="Normal"/>
    <w:qFormat/>
    <w:pPr>
      <w:numPr>
        <w:numId w:val="2"/>
      </w:numPr>
      <w:spacing w:after="120"/>
      <w:jc w:val="both"/>
    </w:pPr>
    <w:rPr>
      <w:rFonts w:eastAsia="MS Mincho"/>
      <w:lang w:eastAsia="ja-JP"/>
    </w:rPr>
  </w:style>
  <w:style w:type="paragraph" w:customStyle="1" w:styleId="List1indent1">
    <w:name w:val="List 1 indent 1"/>
    <w:basedOn w:val="Normal"/>
    <w:qFormat/>
    <w:pPr>
      <w:numPr>
        <w:ilvl w:val="1"/>
        <w:numId w:val="2"/>
      </w:numPr>
      <w:tabs>
        <w:tab w:val="left" w:pos="567"/>
      </w:tabs>
      <w:spacing w:after="120"/>
      <w:jc w:val="both"/>
    </w:pPr>
    <w:rPr>
      <w:rFonts w:cs="Arial"/>
    </w:rPr>
  </w:style>
  <w:style w:type="paragraph" w:customStyle="1" w:styleId="List1indent2">
    <w:name w:val="List 1 indent 2"/>
    <w:basedOn w:val="Normal"/>
    <w:qFormat/>
    <w:pPr>
      <w:widowControl w:val="0"/>
      <w:numPr>
        <w:ilvl w:val="2"/>
        <w:numId w:val="2"/>
      </w:numPr>
      <w:autoSpaceDE w:val="0"/>
      <w:autoSpaceDN w:val="0"/>
      <w:adjustRightInd w:val="0"/>
      <w:spacing w:after="120"/>
      <w:jc w:val="both"/>
    </w:pPr>
    <w:rPr>
      <w:rFonts w:cs="Arial"/>
      <w:sz w:val="20"/>
      <w:szCs w:val="20"/>
    </w:rPr>
  </w:style>
  <w:style w:type="character" w:customStyle="1" w:styleId="Heading1Char">
    <w:name w:val="Heading 1 Char"/>
    <w:link w:val="Heading1"/>
    <w:qFormat/>
    <w:rPr>
      <w:rFonts w:ascii="Calibri" w:hAnsi="Calibri" w:cs="Calibri"/>
      <w:b/>
      <w:caps/>
      <w:color w:val="0070C0"/>
      <w:kern w:val="28"/>
      <w:sz w:val="24"/>
      <w:szCs w:val="22"/>
      <w:lang w:val="en-GB" w:eastAsia="de-DE"/>
    </w:rPr>
  </w:style>
  <w:style w:type="character" w:customStyle="1" w:styleId="Heading2Char">
    <w:name w:val="Heading 2 Char"/>
    <w:link w:val="Heading2"/>
    <w:qFormat/>
    <w:rPr>
      <w:rFonts w:ascii="Calibri" w:hAnsi="Calibri" w:cs="Calibri"/>
      <w:b/>
      <w:color w:val="0070C0"/>
      <w:sz w:val="24"/>
      <w:szCs w:val="24"/>
      <w:lang w:val="en-GB" w:eastAsia="en-GB"/>
    </w:rPr>
  </w:style>
  <w:style w:type="paragraph" w:customStyle="1" w:styleId="Annex">
    <w:name w:val="Annex"/>
    <w:basedOn w:val="Heading1"/>
    <w:next w:val="Normal"/>
    <w:qFormat/>
    <w:pPr>
      <w:numPr>
        <w:numId w:val="3"/>
      </w:numPr>
      <w:tabs>
        <w:tab w:val="left" w:pos="1701"/>
      </w:tabs>
      <w:jc w:val="both"/>
    </w:pPr>
    <w:rPr>
      <w:snapToGrid w:val="0"/>
      <w:kern w:val="0"/>
      <w:lang w:eastAsia="en-GB"/>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8"/>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9"/>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 w:val="22"/>
      <w:lang w:val="en-GB" w:eastAsia="de-DE"/>
    </w:rPr>
  </w:style>
  <w:style w:type="character" w:customStyle="1" w:styleId="Heading4Char">
    <w:name w:val="Heading 4 Char"/>
    <w:link w:val="Heading4"/>
    <w:qFormat/>
    <w:rPr>
      <w:rFonts w:ascii="Arial" w:hAnsi="Arial" w:cs="Calibri"/>
      <w:sz w:val="22"/>
      <w:lang w:val="en-US" w:eastAsia="de-DE"/>
    </w:rPr>
  </w:style>
  <w:style w:type="character" w:customStyle="1" w:styleId="Heading5Char">
    <w:name w:val="Heading 5 Char"/>
    <w:link w:val="Heading5"/>
    <w:qFormat/>
    <w:rPr>
      <w:rFonts w:ascii="Arial" w:eastAsia="Times New Roman" w:hAnsi="Arial"/>
      <w:sz w:val="22"/>
      <w:lang w:val="de-DE" w:eastAsia="de-DE"/>
    </w:rPr>
  </w:style>
  <w:style w:type="character" w:customStyle="1" w:styleId="Heading6Char">
    <w:name w:val="Heading 6 Char"/>
    <w:link w:val="Heading6"/>
    <w:qFormat/>
    <w:rPr>
      <w:rFonts w:ascii="Arial" w:hAnsi="Arial" w:cs="Calibri"/>
      <w:sz w:val="22"/>
      <w:lang w:val="de-DE" w:eastAsia="de-DE"/>
    </w:rPr>
  </w:style>
  <w:style w:type="character" w:customStyle="1" w:styleId="Heading7Char">
    <w:name w:val="Heading 7 Char"/>
    <w:link w:val="Heading7"/>
    <w:qFormat/>
    <w:rPr>
      <w:rFonts w:ascii="Arial" w:hAnsi="Arial" w:cs="Calibri"/>
      <w:sz w:val="22"/>
      <w:lang w:val="de-DE" w:eastAsia="de-DE"/>
    </w:rPr>
  </w:style>
  <w:style w:type="character" w:customStyle="1" w:styleId="Heading8Char">
    <w:name w:val="Heading 8 Char"/>
    <w:link w:val="Heading8"/>
    <w:qFormat/>
    <w:rPr>
      <w:rFonts w:ascii="Arial" w:hAnsi="Arial" w:cs="Calibri"/>
      <w:sz w:val="22"/>
      <w:lang w:val="de-DE" w:eastAsia="de-DE"/>
    </w:rPr>
  </w:style>
  <w:style w:type="character" w:customStyle="1" w:styleId="Heading9Char">
    <w:name w:val="Heading 9 Char"/>
    <w:link w:val="Heading9"/>
    <w:qFormat/>
    <w:rPr>
      <w:rFonts w:ascii="Arial" w:hAnsi="Arial" w:cs="Calibri"/>
      <w:sz w:val="22"/>
      <w:lang w:val="de-DE" w:eastAsia="de-DE"/>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table" w:customStyle="1" w:styleId="TableGrid0">
    <w:name w:val="TableGrid"/>
    <w:basedOn w:val="TableNormal"/>
    <w:qFormat/>
    <w:rPr>
      <w:rFonts w:ascii="DengXian" w:eastAsia="DengXian" w:hAnsi="DengXian" w:cs="DengXian" w:hint="eastAsia"/>
      <w:kern w:val="2"/>
      <w:sz w:val="22"/>
      <w:szCs w:val="24"/>
    </w:rPr>
    <w:tblPr>
      <w:tblCellMar>
        <w:left w:w="0" w:type="dxa"/>
        <w:right w:w="0" w:type="dxa"/>
      </w:tblCellMar>
    </w:tblPr>
  </w:style>
  <w:style w:type="character" w:customStyle="1" w:styleId="ui-provider">
    <w:name w:val="ui-provider"/>
    <w:basedOn w:val="DefaultParagraphFont"/>
    <w:qFormat/>
  </w:style>
  <w:style w:type="paragraph" w:customStyle="1" w:styleId="AppendixHead2">
    <w:name w:val="Appendix Head 2"/>
    <w:basedOn w:val="Appendix"/>
    <w:next w:val="Normal"/>
    <w:qFormat/>
    <w:pPr>
      <w:numPr>
        <w:numId w:val="0"/>
      </w:numPr>
      <w:spacing w:after="120"/>
      <w:ind w:left="1247" w:hanging="1247"/>
    </w:pPr>
    <w:rPr>
      <w:rFonts w:asciiTheme="majorHAnsi" w:eastAsia="Calibri" w:hAnsiTheme="majorHAnsi" w:cs="Arial"/>
      <w:bCs/>
      <w:caps/>
      <w:color w:val="00558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0429-F9F9-4334-A16A-F90FF0B3E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F44DC1-5DEB-4A7E-A4F6-73A9F2A52AA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AD16AC6-C219-4578-8D6F-60C95D4557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3148</Words>
  <Characters>18637</Characters>
  <Application>Microsoft Office Word</Application>
  <DocSecurity>0</DocSecurity>
  <Lines>338</Lines>
  <Paragraphs>192</Paragraphs>
  <ScaleCrop>false</ScaleCrop>
  <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cp:revision>
  <dcterms:created xsi:type="dcterms:W3CDTF">2026-02-06T23:55:00Z</dcterms:created>
  <dcterms:modified xsi:type="dcterms:W3CDTF">2026-09-01T09:13:00Z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KSOProductBuildVer">
    <vt:lpwstr>2052-6.11.0.8885</vt:lpwstr>
  </property>
  <property fmtid="{D5CDD505-2E9C-101B-9397-08002B2CF9AE}" pid="6" name="KSOTemplateDocerSaveRecord">
    <vt:lpwstr>eyJoZGlkIjoiNTIxNmMwODA4MDhiYmVmMjVhZDgxMjE3Y2IwN2JmMmMiLCJ1c2VySWQiOiIzMjg2MjQxNzUifQ==</vt:lpwstr>
  </property>
  <property fmtid="{D5CDD505-2E9C-101B-9397-08002B2CF9AE}" pid="7" name="ICV">
    <vt:lpwstr>F21DB82D079FE452FE1C836A711C1629_43</vt:lpwstr>
  </property>
</Properties>
</file>